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67E" w:rsidRDefault="00F11E9C">
      <w:pPr>
        <w:rPr>
          <w:b/>
          <w:sz w:val="32"/>
          <w:szCs w:val="32"/>
        </w:rPr>
      </w:pPr>
      <w:r w:rsidRPr="0071767E">
        <w:rPr>
          <w:b/>
          <w:sz w:val="32"/>
          <w:szCs w:val="32"/>
        </w:rPr>
        <w:t>NHS Equality Delivery System (EDS</w:t>
      </w:r>
      <w:r w:rsidR="0071767E">
        <w:rPr>
          <w:b/>
          <w:sz w:val="32"/>
          <w:szCs w:val="32"/>
        </w:rPr>
        <w:t>)</w:t>
      </w:r>
      <w:r w:rsidRPr="0071767E">
        <w:rPr>
          <w:b/>
          <w:sz w:val="32"/>
          <w:szCs w:val="32"/>
        </w:rPr>
        <w:t xml:space="preserve"> 2022 </w:t>
      </w:r>
      <w:r w:rsidR="0071767E">
        <w:rPr>
          <w:b/>
          <w:sz w:val="32"/>
          <w:szCs w:val="32"/>
        </w:rPr>
        <w:t xml:space="preserve">    </w:t>
      </w:r>
    </w:p>
    <w:p w:rsidR="000F09B9" w:rsidRPr="0071767E" w:rsidRDefault="00F11E9C">
      <w:pPr>
        <w:rPr>
          <w:b/>
          <w:sz w:val="32"/>
          <w:szCs w:val="32"/>
        </w:rPr>
      </w:pPr>
      <w:r w:rsidRPr="0071767E">
        <w:rPr>
          <w:b/>
          <w:sz w:val="32"/>
          <w:szCs w:val="32"/>
        </w:rPr>
        <w:t xml:space="preserve">KMPT </w:t>
      </w:r>
      <w:r w:rsidR="0071767E">
        <w:rPr>
          <w:b/>
          <w:sz w:val="32"/>
          <w:szCs w:val="32"/>
        </w:rPr>
        <w:t xml:space="preserve">Equality Delivery System (EDS) </w:t>
      </w:r>
      <w:r w:rsidRPr="0071767E">
        <w:rPr>
          <w:b/>
          <w:sz w:val="32"/>
          <w:szCs w:val="32"/>
        </w:rPr>
        <w:t>Action Plan 202</w:t>
      </w:r>
      <w:r w:rsidR="00D91EA0">
        <w:rPr>
          <w:b/>
          <w:sz w:val="32"/>
          <w:szCs w:val="32"/>
        </w:rPr>
        <w:t>3</w:t>
      </w:r>
      <w:r w:rsidRPr="0071767E">
        <w:rPr>
          <w:b/>
          <w:sz w:val="32"/>
          <w:szCs w:val="32"/>
        </w:rPr>
        <w:t>-</w:t>
      </w:r>
      <w:r w:rsidR="0071767E">
        <w:rPr>
          <w:b/>
          <w:sz w:val="32"/>
          <w:szCs w:val="32"/>
        </w:rPr>
        <w:t xml:space="preserve"> </w:t>
      </w:r>
      <w:r w:rsidRPr="0071767E">
        <w:rPr>
          <w:b/>
          <w:sz w:val="32"/>
          <w:szCs w:val="32"/>
        </w:rPr>
        <w:t>2</w:t>
      </w:r>
      <w:r w:rsidR="00D91EA0">
        <w:rPr>
          <w:b/>
          <w:sz w:val="32"/>
          <w:szCs w:val="32"/>
        </w:rPr>
        <w:t>4</w:t>
      </w:r>
    </w:p>
    <w:p w:rsidR="00F11E9C" w:rsidRDefault="00D91EA0" w:rsidP="007235A0">
      <w:pPr>
        <w:jc w:val="both"/>
        <w:rPr>
          <w:rFonts w:ascii="Arial" w:hAnsi="Arial" w:cs="Arial"/>
          <w:sz w:val="24"/>
          <w:szCs w:val="24"/>
        </w:rPr>
      </w:pPr>
      <w:r>
        <w:rPr>
          <w:rFonts w:ascii="Arial" w:hAnsi="Arial" w:cs="Arial"/>
          <w:sz w:val="24"/>
          <w:szCs w:val="24"/>
        </w:rPr>
        <w:t>T</w:t>
      </w:r>
      <w:r w:rsidR="00F11E9C">
        <w:rPr>
          <w:rFonts w:ascii="Arial" w:hAnsi="Arial" w:cs="Arial"/>
          <w:sz w:val="24"/>
          <w:szCs w:val="24"/>
        </w:rPr>
        <w:t xml:space="preserve">he NHS EDS 2022 </w:t>
      </w:r>
      <w:r w:rsidR="007C23C2">
        <w:rPr>
          <w:rFonts w:ascii="Arial" w:hAnsi="Arial" w:cs="Arial"/>
          <w:sz w:val="24"/>
          <w:szCs w:val="24"/>
        </w:rPr>
        <w:t>assessment</w:t>
      </w:r>
      <w:r w:rsidR="00F11E9C">
        <w:rPr>
          <w:rFonts w:ascii="Arial" w:hAnsi="Arial" w:cs="Arial"/>
          <w:sz w:val="24"/>
          <w:szCs w:val="24"/>
        </w:rPr>
        <w:t xml:space="preserve"> </w:t>
      </w:r>
      <w:r w:rsidR="00F97496">
        <w:rPr>
          <w:rFonts w:ascii="Arial" w:hAnsi="Arial" w:cs="Arial"/>
          <w:sz w:val="24"/>
          <w:szCs w:val="24"/>
        </w:rPr>
        <w:t xml:space="preserve">tool </w:t>
      </w:r>
      <w:r>
        <w:rPr>
          <w:rFonts w:ascii="Arial" w:hAnsi="Arial" w:cs="Arial"/>
          <w:sz w:val="24"/>
          <w:szCs w:val="24"/>
        </w:rPr>
        <w:t xml:space="preserve">supports </w:t>
      </w:r>
      <w:r w:rsidR="007C23C2">
        <w:rPr>
          <w:rFonts w:ascii="Arial" w:hAnsi="Arial" w:cs="Arial"/>
          <w:sz w:val="24"/>
          <w:szCs w:val="24"/>
        </w:rPr>
        <w:t>assessment of the impact of discrimination, stress and inequality so that we can improve</w:t>
      </w:r>
      <w:r w:rsidR="00F11E9C">
        <w:rPr>
          <w:rFonts w:ascii="Arial" w:hAnsi="Arial" w:cs="Arial"/>
          <w:sz w:val="24"/>
          <w:szCs w:val="24"/>
        </w:rPr>
        <w:t xml:space="preserve"> experiences </w:t>
      </w:r>
      <w:r w:rsidR="007C23C2">
        <w:rPr>
          <w:rFonts w:ascii="Arial" w:hAnsi="Arial" w:cs="Arial"/>
          <w:sz w:val="24"/>
          <w:szCs w:val="24"/>
        </w:rPr>
        <w:t xml:space="preserve">at KMPT </w:t>
      </w:r>
      <w:r w:rsidR="00F11E9C">
        <w:rPr>
          <w:rFonts w:ascii="Arial" w:hAnsi="Arial" w:cs="Arial"/>
          <w:sz w:val="24"/>
          <w:szCs w:val="24"/>
        </w:rPr>
        <w:t xml:space="preserve">for everyone we support and who works for KMPT. Our Equality Delivery System (EDS) Action Plan highlights priorities </w:t>
      </w:r>
      <w:r>
        <w:rPr>
          <w:rFonts w:ascii="Arial" w:hAnsi="Arial" w:cs="Arial"/>
          <w:sz w:val="24"/>
          <w:szCs w:val="24"/>
        </w:rPr>
        <w:t xml:space="preserve">for </w:t>
      </w:r>
      <w:r w:rsidR="00F11E9C">
        <w:rPr>
          <w:rFonts w:ascii="Arial" w:hAnsi="Arial" w:cs="Arial"/>
          <w:sz w:val="24"/>
          <w:szCs w:val="24"/>
        </w:rPr>
        <w:t>th</w:t>
      </w:r>
      <w:r>
        <w:rPr>
          <w:rFonts w:ascii="Arial" w:hAnsi="Arial" w:cs="Arial"/>
          <w:sz w:val="24"/>
          <w:szCs w:val="24"/>
        </w:rPr>
        <w:t>e</w:t>
      </w:r>
      <w:r w:rsidR="00F11E9C">
        <w:rPr>
          <w:rFonts w:ascii="Arial" w:hAnsi="Arial" w:cs="Arial"/>
          <w:sz w:val="24"/>
          <w:szCs w:val="24"/>
        </w:rPr>
        <w:t xml:space="preserve"> year.</w:t>
      </w:r>
    </w:p>
    <w:p w:rsidR="007C23C2" w:rsidRDefault="007C23C2" w:rsidP="007235A0">
      <w:pPr>
        <w:jc w:val="both"/>
        <w:rPr>
          <w:rFonts w:ascii="Arial" w:hAnsi="Arial" w:cs="Arial"/>
          <w:sz w:val="24"/>
          <w:szCs w:val="24"/>
        </w:rPr>
      </w:pPr>
    </w:p>
    <w:p w:rsidR="00F11E9C" w:rsidRDefault="00F11E9C" w:rsidP="007235A0">
      <w:pPr>
        <w:jc w:val="both"/>
        <w:rPr>
          <w:rFonts w:ascii="Arial" w:hAnsi="Arial" w:cs="Arial"/>
          <w:sz w:val="24"/>
          <w:szCs w:val="24"/>
        </w:rPr>
      </w:pPr>
      <w:r w:rsidRPr="00702158">
        <w:rPr>
          <w:rFonts w:ascii="Arial" w:hAnsi="Arial" w:cs="Arial"/>
          <w:sz w:val="24"/>
          <w:szCs w:val="24"/>
          <w:u w:val="single"/>
        </w:rPr>
        <w:t>Patients</w:t>
      </w:r>
      <w:r>
        <w:rPr>
          <w:rFonts w:ascii="Arial" w:hAnsi="Arial" w:cs="Arial"/>
          <w:sz w:val="24"/>
          <w:szCs w:val="24"/>
        </w:rPr>
        <w:t xml:space="preserve"> – KMPT are working towards collecting and recording patient data in a responsible and sensitive manner that informs </w:t>
      </w:r>
      <w:r w:rsidR="00F97496">
        <w:rPr>
          <w:rFonts w:ascii="Arial" w:hAnsi="Arial" w:cs="Arial"/>
          <w:sz w:val="24"/>
          <w:szCs w:val="24"/>
        </w:rPr>
        <w:t xml:space="preserve">continuous </w:t>
      </w:r>
      <w:proofErr w:type="gramStart"/>
      <w:r w:rsidR="00F97496">
        <w:rPr>
          <w:rFonts w:ascii="Arial" w:hAnsi="Arial" w:cs="Arial"/>
          <w:sz w:val="24"/>
          <w:szCs w:val="24"/>
        </w:rPr>
        <w:t>improvement</w:t>
      </w:r>
      <w:r w:rsidR="007C23C2">
        <w:rPr>
          <w:rFonts w:ascii="Arial" w:hAnsi="Arial" w:cs="Arial"/>
          <w:sz w:val="24"/>
          <w:szCs w:val="24"/>
        </w:rPr>
        <w:t xml:space="preserve">, </w:t>
      </w:r>
      <w:r w:rsidR="00F97496">
        <w:rPr>
          <w:rFonts w:ascii="Arial" w:hAnsi="Arial" w:cs="Arial"/>
          <w:sz w:val="24"/>
          <w:szCs w:val="24"/>
        </w:rPr>
        <w:t xml:space="preserve"> ensur</w:t>
      </w:r>
      <w:r w:rsidR="007C23C2">
        <w:rPr>
          <w:rFonts w:ascii="Arial" w:hAnsi="Arial" w:cs="Arial"/>
          <w:sz w:val="24"/>
          <w:szCs w:val="24"/>
        </w:rPr>
        <w:t>ing</w:t>
      </w:r>
      <w:proofErr w:type="gramEnd"/>
      <w:r w:rsidR="00F97496">
        <w:rPr>
          <w:rFonts w:ascii="Arial" w:hAnsi="Arial" w:cs="Arial"/>
          <w:sz w:val="24"/>
          <w:szCs w:val="24"/>
        </w:rPr>
        <w:t xml:space="preserve"> that</w:t>
      </w:r>
      <w:r>
        <w:rPr>
          <w:rFonts w:ascii="Arial" w:hAnsi="Arial" w:cs="Arial"/>
          <w:sz w:val="24"/>
          <w:szCs w:val="24"/>
        </w:rPr>
        <w:t xml:space="preserve"> our diverse community of patients, service users, family, friends and carers </w:t>
      </w:r>
      <w:r w:rsidR="00D91EA0">
        <w:rPr>
          <w:rFonts w:ascii="Arial" w:hAnsi="Arial" w:cs="Arial"/>
          <w:sz w:val="24"/>
          <w:szCs w:val="24"/>
        </w:rPr>
        <w:t xml:space="preserve">experience good </w:t>
      </w:r>
      <w:r>
        <w:rPr>
          <w:rFonts w:ascii="Arial" w:hAnsi="Arial" w:cs="Arial"/>
          <w:sz w:val="24"/>
          <w:szCs w:val="24"/>
        </w:rPr>
        <w:t>access</w:t>
      </w:r>
      <w:r w:rsidR="007C23C2">
        <w:rPr>
          <w:rFonts w:ascii="Arial" w:hAnsi="Arial" w:cs="Arial"/>
          <w:sz w:val="24"/>
          <w:szCs w:val="24"/>
        </w:rPr>
        <w:t xml:space="preserve"> </w:t>
      </w:r>
      <w:r>
        <w:rPr>
          <w:rFonts w:ascii="Arial" w:hAnsi="Arial" w:cs="Arial"/>
          <w:sz w:val="24"/>
          <w:szCs w:val="24"/>
        </w:rPr>
        <w:t xml:space="preserve">and </w:t>
      </w:r>
      <w:r w:rsidR="00D91EA0">
        <w:rPr>
          <w:rFonts w:ascii="Arial" w:hAnsi="Arial" w:cs="Arial"/>
          <w:sz w:val="24"/>
          <w:szCs w:val="24"/>
        </w:rPr>
        <w:t xml:space="preserve">high </w:t>
      </w:r>
      <w:r w:rsidR="00F20988">
        <w:rPr>
          <w:rFonts w:ascii="Arial" w:hAnsi="Arial" w:cs="Arial"/>
          <w:sz w:val="24"/>
          <w:szCs w:val="24"/>
        </w:rPr>
        <w:t>levels of satisfaction</w:t>
      </w:r>
      <w:r w:rsidR="00D91EA0">
        <w:rPr>
          <w:rFonts w:ascii="Arial" w:hAnsi="Arial" w:cs="Arial"/>
          <w:sz w:val="24"/>
          <w:szCs w:val="24"/>
        </w:rPr>
        <w:t xml:space="preserve"> in </w:t>
      </w:r>
      <w:r>
        <w:rPr>
          <w:rFonts w:ascii="Arial" w:hAnsi="Arial" w:cs="Arial"/>
          <w:sz w:val="24"/>
          <w:szCs w:val="24"/>
        </w:rPr>
        <w:t>experience</w:t>
      </w:r>
      <w:r w:rsidR="00D91EA0">
        <w:rPr>
          <w:rFonts w:ascii="Arial" w:hAnsi="Arial" w:cs="Arial"/>
          <w:sz w:val="24"/>
          <w:szCs w:val="24"/>
        </w:rPr>
        <w:t>s and outcomes from</w:t>
      </w:r>
      <w:r>
        <w:rPr>
          <w:rFonts w:ascii="Arial" w:hAnsi="Arial" w:cs="Arial"/>
          <w:sz w:val="24"/>
          <w:szCs w:val="24"/>
        </w:rPr>
        <w:t xml:space="preserve"> our services. </w:t>
      </w:r>
    </w:p>
    <w:p w:rsidR="00F11E9C" w:rsidRDefault="00F11E9C" w:rsidP="007235A0">
      <w:pPr>
        <w:jc w:val="both"/>
        <w:rPr>
          <w:rFonts w:ascii="Arial" w:hAnsi="Arial" w:cs="Arial"/>
          <w:sz w:val="24"/>
          <w:szCs w:val="24"/>
        </w:rPr>
      </w:pPr>
      <w:r>
        <w:rPr>
          <w:rFonts w:ascii="Arial" w:hAnsi="Arial" w:cs="Arial"/>
          <w:sz w:val="24"/>
          <w:szCs w:val="24"/>
        </w:rPr>
        <w:t>We understand that individuals, groups and communities with protected characteristics experience disadvantage when accessing and experiencing mental health services and we want to ensure that we are improving our services based on evidence of those specific needs, listening to our service users and providing safe and respectful services.</w:t>
      </w:r>
    </w:p>
    <w:p w:rsidR="00F11E9C" w:rsidRDefault="00F11E9C" w:rsidP="007235A0">
      <w:pPr>
        <w:jc w:val="both"/>
        <w:rPr>
          <w:rFonts w:ascii="Arial" w:hAnsi="Arial" w:cs="Arial"/>
          <w:sz w:val="24"/>
          <w:szCs w:val="24"/>
        </w:rPr>
      </w:pPr>
    </w:p>
    <w:p w:rsidR="00F11E9C" w:rsidRDefault="00F11E9C" w:rsidP="007235A0">
      <w:pPr>
        <w:jc w:val="both"/>
        <w:rPr>
          <w:rFonts w:ascii="Arial" w:hAnsi="Arial" w:cs="Arial"/>
          <w:sz w:val="24"/>
          <w:szCs w:val="24"/>
        </w:rPr>
      </w:pPr>
      <w:r w:rsidRPr="00702158">
        <w:rPr>
          <w:rFonts w:ascii="Arial" w:hAnsi="Arial" w:cs="Arial"/>
          <w:sz w:val="24"/>
          <w:szCs w:val="24"/>
          <w:u w:val="single"/>
        </w:rPr>
        <w:t xml:space="preserve">Workforce </w:t>
      </w:r>
      <w:r>
        <w:rPr>
          <w:rFonts w:ascii="Arial" w:hAnsi="Arial" w:cs="Arial"/>
          <w:sz w:val="24"/>
          <w:szCs w:val="24"/>
        </w:rPr>
        <w:t xml:space="preserve">– KMPT staff deserve to work in a safe environment free from bullying, harassment, verbal or physical assault. We </w:t>
      </w:r>
      <w:r w:rsidR="00D91EA0">
        <w:rPr>
          <w:rFonts w:ascii="Arial" w:hAnsi="Arial" w:cs="Arial"/>
          <w:sz w:val="24"/>
          <w:szCs w:val="24"/>
        </w:rPr>
        <w:t xml:space="preserve">continue to </w:t>
      </w:r>
      <w:r>
        <w:rPr>
          <w:rFonts w:ascii="Arial" w:hAnsi="Arial" w:cs="Arial"/>
          <w:sz w:val="24"/>
          <w:szCs w:val="24"/>
        </w:rPr>
        <w:t xml:space="preserve">work towards reducing the number of </w:t>
      </w:r>
      <w:proofErr w:type="gramStart"/>
      <w:r>
        <w:rPr>
          <w:rFonts w:ascii="Arial" w:hAnsi="Arial" w:cs="Arial"/>
          <w:sz w:val="24"/>
          <w:szCs w:val="24"/>
        </w:rPr>
        <w:t>staff</w:t>
      </w:r>
      <w:proofErr w:type="gramEnd"/>
      <w:r>
        <w:rPr>
          <w:rFonts w:ascii="Arial" w:hAnsi="Arial" w:cs="Arial"/>
          <w:sz w:val="24"/>
          <w:szCs w:val="24"/>
        </w:rPr>
        <w:t xml:space="preserve"> experiencing bullying, harassment and abuse at work, ensuring that appropriate support is available to ensure their wellbeing.</w:t>
      </w:r>
    </w:p>
    <w:p w:rsidR="00F11E9C" w:rsidRDefault="00F11E9C" w:rsidP="007235A0">
      <w:pPr>
        <w:jc w:val="both"/>
        <w:rPr>
          <w:rFonts w:ascii="Arial" w:hAnsi="Arial" w:cs="Arial"/>
          <w:sz w:val="24"/>
          <w:szCs w:val="24"/>
        </w:rPr>
      </w:pPr>
      <w:r>
        <w:rPr>
          <w:rFonts w:ascii="Arial" w:hAnsi="Arial" w:cs="Arial"/>
          <w:sz w:val="24"/>
          <w:szCs w:val="24"/>
        </w:rPr>
        <w:t>We will ensure we are aware of physical or mental health needs that may impact on work performance, responding to needs for reasonable adjustments and support</w:t>
      </w:r>
      <w:r w:rsidR="00D91EA0">
        <w:rPr>
          <w:rFonts w:ascii="Arial" w:hAnsi="Arial" w:cs="Arial"/>
          <w:sz w:val="24"/>
          <w:szCs w:val="24"/>
        </w:rPr>
        <w:t xml:space="preserve">, </w:t>
      </w:r>
      <w:r>
        <w:rPr>
          <w:rFonts w:ascii="Arial" w:hAnsi="Arial" w:cs="Arial"/>
          <w:sz w:val="24"/>
          <w:szCs w:val="24"/>
        </w:rPr>
        <w:t>ensuring that our teams and services are aware and equipped to address health inequalities within the workforce.</w:t>
      </w:r>
    </w:p>
    <w:p w:rsidR="00F11E9C" w:rsidRDefault="00F11E9C" w:rsidP="007235A0">
      <w:pPr>
        <w:jc w:val="both"/>
        <w:rPr>
          <w:rFonts w:ascii="Arial" w:hAnsi="Arial" w:cs="Arial"/>
          <w:sz w:val="24"/>
          <w:szCs w:val="24"/>
        </w:rPr>
      </w:pPr>
    </w:p>
    <w:p w:rsidR="00F11E9C" w:rsidRDefault="00F11E9C" w:rsidP="007235A0">
      <w:pPr>
        <w:jc w:val="both"/>
        <w:rPr>
          <w:rFonts w:ascii="Arial" w:hAnsi="Arial" w:cs="Arial"/>
          <w:sz w:val="24"/>
          <w:szCs w:val="24"/>
        </w:rPr>
      </w:pPr>
      <w:r w:rsidRPr="004E1A77">
        <w:rPr>
          <w:rFonts w:ascii="Arial" w:hAnsi="Arial" w:cs="Arial"/>
          <w:sz w:val="24"/>
          <w:szCs w:val="24"/>
          <w:u w:val="single"/>
        </w:rPr>
        <w:t>Leadership</w:t>
      </w:r>
      <w:r>
        <w:rPr>
          <w:rFonts w:ascii="Arial" w:hAnsi="Arial" w:cs="Arial"/>
          <w:sz w:val="24"/>
          <w:szCs w:val="24"/>
        </w:rPr>
        <w:t xml:space="preserve"> – KMPT’s commitment to equality is led from the top of the organisation, ensuring that strategic planning, policy and decision making is a core feature of our organisational culture.</w:t>
      </w:r>
    </w:p>
    <w:p w:rsidR="0071767E" w:rsidRDefault="00F11E9C" w:rsidP="0071767E">
      <w:pPr>
        <w:jc w:val="both"/>
        <w:rPr>
          <w:rFonts w:ascii="Arial" w:hAnsi="Arial" w:cs="Arial"/>
          <w:sz w:val="24"/>
          <w:szCs w:val="24"/>
        </w:rPr>
      </w:pPr>
      <w:r>
        <w:rPr>
          <w:rFonts w:ascii="Arial" w:hAnsi="Arial" w:cs="Arial"/>
          <w:sz w:val="24"/>
          <w:szCs w:val="24"/>
        </w:rPr>
        <w:t>We are working towards embedding a culture of actively tackling inequalities that affect patients and staff</w:t>
      </w:r>
      <w:r w:rsidR="00D91EA0">
        <w:rPr>
          <w:rFonts w:ascii="Arial" w:hAnsi="Arial" w:cs="Arial"/>
          <w:sz w:val="24"/>
          <w:szCs w:val="24"/>
        </w:rPr>
        <w:t xml:space="preserve">, </w:t>
      </w:r>
      <w:r>
        <w:rPr>
          <w:rFonts w:ascii="Arial" w:hAnsi="Arial" w:cs="Arial"/>
          <w:sz w:val="24"/>
          <w:szCs w:val="24"/>
        </w:rPr>
        <w:t>with visible and proactive leadership that ensures measurable improvement for the communities we serve and the staff who work here.</w:t>
      </w:r>
    </w:p>
    <w:p w:rsidR="00D91EA0" w:rsidRPr="0071767E" w:rsidRDefault="00D91EA0" w:rsidP="0071767E">
      <w:pPr>
        <w:jc w:val="both"/>
        <w:rPr>
          <w:rFonts w:ascii="Arial" w:hAnsi="Arial" w:cs="Arial"/>
          <w:sz w:val="24"/>
          <w:szCs w:val="24"/>
        </w:rPr>
      </w:pPr>
      <w:bookmarkStart w:id="0" w:name="_GoBack"/>
      <w:bookmarkEnd w:id="0"/>
    </w:p>
    <w:tbl>
      <w:tblPr>
        <w:tblStyle w:val="TableGrid"/>
        <w:tblpPr w:leftFromText="180" w:rightFromText="180" w:vertAnchor="page" w:horzAnchor="margin" w:tblpY="2411"/>
        <w:tblW w:w="1473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62" w:type="dxa"/>
          <w:left w:w="62" w:type="dxa"/>
          <w:bottom w:w="62" w:type="dxa"/>
          <w:right w:w="62" w:type="dxa"/>
        </w:tblCellMar>
        <w:tblLook w:val="04A0" w:firstRow="1" w:lastRow="0" w:firstColumn="1" w:lastColumn="0" w:noHBand="0" w:noVBand="1"/>
      </w:tblPr>
      <w:tblGrid>
        <w:gridCol w:w="6789"/>
        <w:gridCol w:w="7948"/>
      </w:tblGrid>
      <w:tr w:rsidR="00F11E9C" w:rsidRPr="00376093" w:rsidTr="007235A0">
        <w:tc>
          <w:tcPr>
            <w:tcW w:w="14737" w:type="dxa"/>
            <w:gridSpan w:val="2"/>
            <w:shd w:val="clear" w:color="auto" w:fill="D5DCE4" w:themeFill="text2" w:themeFillTint="33"/>
            <w:vAlign w:val="center"/>
          </w:tcPr>
          <w:p w:rsidR="00F11E9C" w:rsidRPr="00C93306" w:rsidRDefault="00F11E9C" w:rsidP="007235A0">
            <w:pPr>
              <w:shd w:val="clear" w:color="auto" w:fill="D5DCE4" w:themeFill="text2" w:themeFillTint="33"/>
              <w:jc w:val="center"/>
              <w:rPr>
                <w:rFonts w:cs="Arial"/>
                <w:b/>
                <w:color w:val="auto"/>
                <w:sz w:val="28"/>
                <w:szCs w:val="28"/>
              </w:rPr>
            </w:pPr>
            <w:r w:rsidRPr="00C93306">
              <w:rPr>
                <w:rFonts w:cs="Arial"/>
                <w:b/>
                <w:color w:val="auto"/>
                <w:sz w:val="28"/>
                <w:szCs w:val="28"/>
              </w:rPr>
              <w:t>EDS Action Plan</w:t>
            </w:r>
          </w:p>
        </w:tc>
      </w:tr>
      <w:tr w:rsidR="00F11E9C" w:rsidRPr="00376093" w:rsidTr="007235A0">
        <w:tc>
          <w:tcPr>
            <w:tcW w:w="6789" w:type="dxa"/>
            <w:shd w:val="clear" w:color="auto" w:fill="D5DCE4" w:themeFill="text2" w:themeFillTint="33"/>
            <w:vAlign w:val="center"/>
          </w:tcPr>
          <w:p w:rsidR="00F11E9C" w:rsidRPr="00376093" w:rsidRDefault="00F11E9C" w:rsidP="007235A0">
            <w:pPr>
              <w:shd w:val="clear" w:color="auto" w:fill="D5DCE4" w:themeFill="text2" w:themeFillTint="33"/>
              <w:spacing w:after="160" w:line="259" w:lineRule="auto"/>
              <w:jc w:val="center"/>
              <w:rPr>
                <w:rFonts w:cs="Arial"/>
                <w:b/>
                <w:color w:val="auto"/>
              </w:rPr>
            </w:pPr>
            <w:r w:rsidRPr="00376093">
              <w:rPr>
                <w:rFonts w:cs="Arial"/>
                <w:b/>
                <w:color w:val="auto"/>
              </w:rPr>
              <w:t>EDS Lead</w:t>
            </w:r>
          </w:p>
        </w:tc>
        <w:tc>
          <w:tcPr>
            <w:tcW w:w="7948" w:type="dxa"/>
            <w:shd w:val="clear" w:color="auto" w:fill="D5DCE4" w:themeFill="text2" w:themeFillTint="33"/>
            <w:vAlign w:val="center"/>
          </w:tcPr>
          <w:p w:rsidR="00F11E9C" w:rsidRPr="00376093" w:rsidRDefault="00F11E9C" w:rsidP="007235A0">
            <w:pPr>
              <w:shd w:val="clear" w:color="auto" w:fill="D5DCE4" w:themeFill="text2" w:themeFillTint="33"/>
              <w:spacing w:after="160" w:line="259" w:lineRule="auto"/>
              <w:jc w:val="center"/>
              <w:rPr>
                <w:rFonts w:cs="Arial"/>
                <w:b/>
                <w:color w:val="auto"/>
              </w:rPr>
            </w:pPr>
            <w:r w:rsidRPr="00376093">
              <w:rPr>
                <w:rFonts w:cs="Arial"/>
                <w:b/>
                <w:color w:val="auto"/>
              </w:rPr>
              <w:t>Year(s) active</w:t>
            </w:r>
          </w:p>
        </w:tc>
      </w:tr>
      <w:tr w:rsidR="00F11E9C" w:rsidRPr="009D1CC6" w:rsidTr="007235A0">
        <w:tc>
          <w:tcPr>
            <w:tcW w:w="6789" w:type="dxa"/>
            <w:shd w:val="clear" w:color="auto" w:fill="FFFFFF" w:themeFill="background1"/>
            <w:vAlign w:val="center"/>
          </w:tcPr>
          <w:p w:rsidR="00F11E9C" w:rsidRPr="009D1CC6" w:rsidRDefault="00F11E9C" w:rsidP="007235A0">
            <w:pPr>
              <w:pStyle w:val="TableText"/>
            </w:pPr>
            <w:r>
              <w:t xml:space="preserve">Yasmin </w:t>
            </w:r>
            <w:proofErr w:type="spellStart"/>
            <w:r>
              <w:t>Damree-Ralph</w:t>
            </w:r>
            <w:proofErr w:type="spellEnd"/>
          </w:p>
        </w:tc>
        <w:tc>
          <w:tcPr>
            <w:tcW w:w="7948" w:type="dxa"/>
            <w:shd w:val="clear" w:color="auto" w:fill="FFFFFF" w:themeFill="background1"/>
            <w:vAlign w:val="center"/>
          </w:tcPr>
          <w:p w:rsidR="00F11E9C" w:rsidRPr="009D1CC6" w:rsidRDefault="00F11E9C" w:rsidP="007235A0">
            <w:pPr>
              <w:pStyle w:val="TableText"/>
            </w:pPr>
            <w:r>
              <w:t>2022-23</w:t>
            </w:r>
          </w:p>
        </w:tc>
      </w:tr>
      <w:tr w:rsidR="00F11E9C" w:rsidRPr="009D1CC6" w:rsidTr="007235A0">
        <w:tc>
          <w:tcPr>
            <w:tcW w:w="6789" w:type="dxa"/>
            <w:shd w:val="clear" w:color="auto" w:fill="D5DCE4" w:themeFill="text2" w:themeFillTint="33"/>
            <w:vAlign w:val="center"/>
          </w:tcPr>
          <w:p w:rsidR="00F11E9C" w:rsidRPr="00376093" w:rsidRDefault="00F11E9C" w:rsidP="007235A0">
            <w:pPr>
              <w:spacing w:after="160" w:line="259" w:lineRule="auto"/>
              <w:jc w:val="center"/>
              <w:rPr>
                <w:rFonts w:cs="Arial"/>
                <w:b/>
                <w:color w:val="auto"/>
              </w:rPr>
            </w:pPr>
            <w:r w:rsidRPr="00376093">
              <w:rPr>
                <w:rFonts w:cs="Arial"/>
                <w:b/>
                <w:color w:val="auto"/>
              </w:rPr>
              <w:t>EDS Sponsor</w:t>
            </w:r>
          </w:p>
        </w:tc>
        <w:tc>
          <w:tcPr>
            <w:tcW w:w="7948" w:type="dxa"/>
            <w:shd w:val="clear" w:color="auto" w:fill="D5DCE4" w:themeFill="text2" w:themeFillTint="33"/>
            <w:vAlign w:val="center"/>
          </w:tcPr>
          <w:p w:rsidR="00F11E9C" w:rsidRPr="00376093" w:rsidRDefault="00F11E9C" w:rsidP="007235A0">
            <w:pPr>
              <w:spacing w:after="160" w:line="259" w:lineRule="auto"/>
              <w:jc w:val="center"/>
              <w:rPr>
                <w:rFonts w:cs="Arial"/>
                <w:b/>
                <w:color w:val="auto"/>
              </w:rPr>
            </w:pPr>
            <w:r w:rsidRPr="00376093">
              <w:rPr>
                <w:rFonts w:cs="Arial"/>
                <w:b/>
                <w:color w:val="auto"/>
              </w:rPr>
              <w:t>Authorisation date</w:t>
            </w:r>
          </w:p>
        </w:tc>
      </w:tr>
      <w:tr w:rsidR="00F11E9C" w:rsidRPr="009D1CC6" w:rsidTr="007235A0">
        <w:tc>
          <w:tcPr>
            <w:tcW w:w="6789" w:type="dxa"/>
            <w:shd w:val="clear" w:color="auto" w:fill="FFFFFF" w:themeFill="background1"/>
            <w:vAlign w:val="center"/>
          </w:tcPr>
          <w:p w:rsidR="00F11E9C" w:rsidRPr="009D1CC6" w:rsidRDefault="00F11E9C" w:rsidP="007235A0">
            <w:pPr>
              <w:pStyle w:val="TableText"/>
            </w:pPr>
            <w:r>
              <w:t xml:space="preserve">Sandra </w:t>
            </w:r>
            <w:proofErr w:type="spellStart"/>
            <w:r>
              <w:t>Goatley</w:t>
            </w:r>
            <w:proofErr w:type="spellEnd"/>
          </w:p>
        </w:tc>
        <w:tc>
          <w:tcPr>
            <w:tcW w:w="7948" w:type="dxa"/>
            <w:shd w:val="clear" w:color="auto" w:fill="FFFFFF" w:themeFill="background1"/>
            <w:vAlign w:val="center"/>
          </w:tcPr>
          <w:p w:rsidR="00F11E9C" w:rsidRPr="009D1CC6" w:rsidRDefault="00F11E9C" w:rsidP="007235A0">
            <w:pPr>
              <w:pStyle w:val="TableText"/>
            </w:pPr>
          </w:p>
        </w:tc>
      </w:tr>
    </w:tbl>
    <w:p w:rsidR="00F11E9C" w:rsidRDefault="00F11E9C" w:rsidP="00F11E9C">
      <w:pPr>
        <w:rPr>
          <w:rFonts w:cs="Arial"/>
        </w:rPr>
      </w:pPr>
    </w:p>
    <w:p w:rsidR="00D12A65" w:rsidRPr="00376093" w:rsidRDefault="00D12A65" w:rsidP="00D12A65">
      <w:pPr>
        <w:shd w:val="clear" w:color="auto" w:fill="D5DCE4" w:themeFill="text2" w:themeFillTint="33"/>
        <w:rPr>
          <w:rFonts w:cs="Arial"/>
        </w:rPr>
      </w:pPr>
    </w:p>
    <w:tbl>
      <w:tblPr>
        <w:tblStyle w:val="TableGrid"/>
        <w:tblpPr w:leftFromText="180" w:rightFromText="180" w:horzAnchor="margin" w:tblpY="244"/>
        <w:tblW w:w="1473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62" w:type="dxa"/>
          <w:left w:w="62" w:type="dxa"/>
          <w:bottom w:w="62" w:type="dxa"/>
          <w:right w:w="62" w:type="dxa"/>
        </w:tblCellMar>
        <w:tblLook w:val="04A0" w:firstRow="1" w:lastRow="0" w:firstColumn="1" w:lastColumn="0" w:noHBand="0" w:noVBand="1"/>
      </w:tblPr>
      <w:tblGrid>
        <w:gridCol w:w="6789"/>
        <w:gridCol w:w="7948"/>
      </w:tblGrid>
      <w:tr w:rsidR="00D12A65" w:rsidRPr="00376093" w:rsidTr="00491237">
        <w:tc>
          <w:tcPr>
            <w:tcW w:w="14737" w:type="dxa"/>
            <w:gridSpan w:val="2"/>
            <w:shd w:val="clear" w:color="auto" w:fill="D5DCE4" w:themeFill="text2" w:themeFillTint="33"/>
            <w:vAlign w:val="center"/>
          </w:tcPr>
          <w:p w:rsidR="00D12A65" w:rsidRPr="00C93306" w:rsidRDefault="00D12A65" w:rsidP="00491237">
            <w:pPr>
              <w:shd w:val="clear" w:color="auto" w:fill="D5DCE4" w:themeFill="text2" w:themeFillTint="33"/>
              <w:jc w:val="center"/>
              <w:rPr>
                <w:rFonts w:cs="Arial"/>
                <w:b/>
                <w:color w:val="auto"/>
                <w:sz w:val="28"/>
                <w:szCs w:val="28"/>
              </w:rPr>
            </w:pPr>
            <w:r w:rsidRPr="00C93306">
              <w:rPr>
                <w:rFonts w:cs="Arial"/>
                <w:b/>
                <w:color w:val="auto"/>
                <w:sz w:val="28"/>
                <w:szCs w:val="28"/>
              </w:rPr>
              <w:t>EDS Action Plan</w:t>
            </w:r>
          </w:p>
        </w:tc>
      </w:tr>
      <w:tr w:rsidR="00D12A65" w:rsidRPr="00376093" w:rsidTr="00491237">
        <w:tc>
          <w:tcPr>
            <w:tcW w:w="6789" w:type="dxa"/>
            <w:shd w:val="clear" w:color="auto" w:fill="D5DCE4" w:themeFill="text2" w:themeFillTint="33"/>
            <w:vAlign w:val="center"/>
          </w:tcPr>
          <w:p w:rsidR="00D12A65" w:rsidRPr="00376093" w:rsidRDefault="00D12A65" w:rsidP="00491237">
            <w:pPr>
              <w:shd w:val="clear" w:color="auto" w:fill="D5DCE4" w:themeFill="text2" w:themeFillTint="33"/>
              <w:spacing w:after="160" w:line="259" w:lineRule="auto"/>
              <w:jc w:val="center"/>
              <w:rPr>
                <w:rFonts w:cs="Arial"/>
                <w:b/>
                <w:color w:val="auto"/>
              </w:rPr>
            </w:pPr>
            <w:r w:rsidRPr="00376093">
              <w:rPr>
                <w:rFonts w:cs="Arial"/>
                <w:b/>
                <w:color w:val="auto"/>
              </w:rPr>
              <w:t>EDS Lead</w:t>
            </w:r>
          </w:p>
        </w:tc>
        <w:tc>
          <w:tcPr>
            <w:tcW w:w="7948" w:type="dxa"/>
            <w:shd w:val="clear" w:color="auto" w:fill="D5DCE4" w:themeFill="text2" w:themeFillTint="33"/>
            <w:vAlign w:val="center"/>
          </w:tcPr>
          <w:p w:rsidR="00D12A65" w:rsidRPr="00376093" w:rsidRDefault="00D12A65" w:rsidP="00491237">
            <w:pPr>
              <w:shd w:val="clear" w:color="auto" w:fill="D5DCE4" w:themeFill="text2" w:themeFillTint="33"/>
              <w:spacing w:after="160" w:line="259" w:lineRule="auto"/>
              <w:jc w:val="center"/>
              <w:rPr>
                <w:rFonts w:cs="Arial"/>
                <w:b/>
                <w:color w:val="auto"/>
              </w:rPr>
            </w:pPr>
            <w:r w:rsidRPr="00376093">
              <w:rPr>
                <w:rFonts w:cs="Arial"/>
                <w:b/>
                <w:color w:val="auto"/>
              </w:rPr>
              <w:t>Year(s) active</w:t>
            </w:r>
          </w:p>
        </w:tc>
      </w:tr>
      <w:tr w:rsidR="00D12A65" w:rsidRPr="009D1CC6" w:rsidTr="00491237">
        <w:tc>
          <w:tcPr>
            <w:tcW w:w="6789" w:type="dxa"/>
            <w:shd w:val="clear" w:color="auto" w:fill="FFFFFF" w:themeFill="background1"/>
            <w:vAlign w:val="center"/>
          </w:tcPr>
          <w:p w:rsidR="00D12A65" w:rsidRPr="009D1CC6" w:rsidRDefault="00D12A65" w:rsidP="00491237">
            <w:pPr>
              <w:pStyle w:val="TableText"/>
            </w:pPr>
            <w:r>
              <w:t xml:space="preserve">Yasmin </w:t>
            </w:r>
            <w:proofErr w:type="spellStart"/>
            <w:r>
              <w:t>Damree-Ralph</w:t>
            </w:r>
            <w:proofErr w:type="spellEnd"/>
          </w:p>
        </w:tc>
        <w:tc>
          <w:tcPr>
            <w:tcW w:w="7948" w:type="dxa"/>
            <w:shd w:val="clear" w:color="auto" w:fill="FFFFFF" w:themeFill="background1"/>
            <w:vAlign w:val="center"/>
          </w:tcPr>
          <w:p w:rsidR="00D12A65" w:rsidRPr="009D1CC6" w:rsidRDefault="00D12A65" w:rsidP="00491237">
            <w:pPr>
              <w:pStyle w:val="TableText"/>
            </w:pPr>
            <w:r>
              <w:t>2023-24</w:t>
            </w:r>
          </w:p>
        </w:tc>
      </w:tr>
      <w:tr w:rsidR="00D12A65" w:rsidRPr="009D1CC6" w:rsidTr="00491237">
        <w:tc>
          <w:tcPr>
            <w:tcW w:w="6789" w:type="dxa"/>
            <w:shd w:val="clear" w:color="auto" w:fill="D5DCE4" w:themeFill="text2" w:themeFillTint="33"/>
            <w:vAlign w:val="center"/>
          </w:tcPr>
          <w:p w:rsidR="00D12A65" w:rsidRPr="00376093" w:rsidRDefault="00D12A65" w:rsidP="00491237">
            <w:pPr>
              <w:spacing w:after="160" w:line="259" w:lineRule="auto"/>
              <w:jc w:val="center"/>
              <w:rPr>
                <w:rFonts w:cs="Arial"/>
                <w:b/>
                <w:color w:val="auto"/>
              </w:rPr>
            </w:pPr>
            <w:r w:rsidRPr="00376093">
              <w:rPr>
                <w:rFonts w:cs="Arial"/>
                <w:b/>
                <w:color w:val="auto"/>
              </w:rPr>
              <w:t>EDS Sponsor</w:t>
            </w:r>
          </w:p>
        </w:tc>
        <w:tc>
          <w:tcPr>
            <w:tcW w:w="7948" w:type="dxa"/>
            <w:shd w:val="clear" w:color="auto" w:fill="D5DCE4" w:themeFill="text2" w:themeFillTint="33"/>
            <w:vAlign w:val="center"/>
          </w:tcPr>
          <w:p w:rsidR="00D12A65" w:rsidRPr="00376093" w:rsidRDefault="00D12A65" w:rsidP="00491237">
            <w:pPr>
              <w:spacing w:after="160" w:line="259" w:lineRule="auto"/>
              <w:jc w:val="center"/>
              <w:rPr>
                <w:rFonts w:cs="Arial"/>
                <w:b/>
                <w:color w:val="auto"/>
              </w:rPr>
            </w:pPr>
            <w:r w:rsidRPr="00376093">
              <w:rPr>
                <w:rFonts w:cs="Arial"/>
                <w:b/>
                <w:color w:val="auto"/>
              </w:rPr>
              <w:t>Authorisation date</w:t>
            </w:r>
          </w:p>
        </w:tc>
      </w:tr>
      <w:tr w:rsidR="00D12A65" w:rsidRPr="009D1CC6" w:rsidTr="00491237">
        <w:tc>
          <w:tcPr>
            <w:tcW w:w="6789" w:type="dxa"/>
            <w:shd w:val="clear" w:color="auto" w:fill="FFFFFF" w:themeFill="background1"/>
            <w:vAlign w:val="center"/>
          </w:tcPr>
          <w:p w:rsidR="00D12A65" w:rsidRPr="009D1CC6" w:rsidRDefault="00D12A65" w:rsidP="00491237">
            <w:pPr>
              <w:pStyle w:val="TableText"/>
            </w:pPr>
            <w:r>
              <w:t xml:space="preserve">Sandra </w:t>
            </w:r>
            <w:proofErr w:type="spellStart"/>
            <w:r>
              <w:t>Goatley</w:t>
            </w:r>
            <w:proofErr w:type="spellEnd"/>
          </w:p>
        </w:tc>
        <w:tc>
          <w:tcPr>
            <w:tcW w:w="7948" w:type="dxa"/>
            <w:shd w:val="clear" w:color="auto" w:fill="FFFFFF" w:themeFill="background1"/>
            <w:vAlign w:val="center"/>
          </w:tcPr>
          <w:p w:rsidR="00D12A65" w:rsidRPr="009D1CC6" w:rsidRDefault="00D12A65" w:rsidP="00491237">
            <w:pPr>
              <w:pStyle w:val="TableText"/>
            </w:pPr>
          </w:p>
        </w:tc>
      </w:tr>
    </w:tbl>
    <w:p w:rsidR="00D12A65" w:rsidRDefault="00D12A65" w:rsidP="00D12A65">
      <w:pPr>
        <w:rPr>
          <w:rFonts w:cs="Arial"/>
        </w:rPr>
      </w:pPr>
    </w:p>
    <w:p w:rsidR="00F20988" w:rsidRDefault="00F20988" w:rsidP="00D12A65">
      <w:pPr>
        <w:rPr>
          <w:rFonts w:cs="Arial"/>
        </w:rPr>
      </w:pPr>
    </w:p>
    <w:p w:rsidR="00F20988" w:rsidRDefault="00F20988" w:rsidP="00D12A65">
      <w:pPr>
        <w:rPr>
          <w:rFonts w:cs="Arial"/>
        </w:rPr>
      </w:pPr>
    </w:p>
    <w:p w:rsidR="00F20988" w:rsidRDefault="00F20988" w:rsidP="00D12A65">
      <w:pPr>
        <w:rPr>
          <w:rFonts w:cs="Arial"/>
        </w:rPr>
      </w:pPr>
    </w:p>
    <w:p w:rsidR="00F20988" w:rsidRDefault="00F20988" w:rsidP="00D12A65">
      <w:pPr>
        <w:rPr>
          <w:rFonts w:cs="Arial"/>
        </w:rPr>
      </w:pPr>
    </w:p>
    <w:p w:rsidR="00F20988" w:rsidRDefault="00F20988" w:rsidP="00D12A65">
      <w:pPr>
        <w:rPr>
          <w:rFonts w:cs="Arial"/>
        </w:rPr>
      </w:pPr>
    </w:p>
    <w:p w:rsidR="00D91EA0" w:rsidRDefault="00D91EA0" w:rsidP="00D12A65">
      <w:pPr>
        <w:rPr>
          <w:rFonts w:cs="Arial"/>
        </w:rPr>
      </w:pPr>
    </w:p>
    <w:p w:rsidR="00D91EA0" w:rsidRDefault="00D91EA0" w:rsidP="00D12A65">
      <w:pPr>
        <w:rPr>
          <w:rFonts w:cs="Arial"/>
        </w:rPr>
      </w:pPr>
    </w:p>
    <w:tbl>
      <w:tblPr>
        <w:tblStyle w:val="TableGrid"/>
        <w:tblW w:w="14737"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62" w:type="dxa"/>
          <w:left w:w="62" w:type="dxa"/>
          <w:bottom w:w="62" w:type="dxa"/>
          <w:right w:w="62" w:type="dxa"/>
        </w:tblCellMar>
        <w:tblLook w:val="04A0" w:firstRow="1" w:lastRow="0" w:firstColumn="1" w:lastColumn="0" w:noHBand="0" w:noVBand="1"/>
      </w:tblPr>
      <w:tblGrid>
        <w:gridCol w:w="1121"/>
        <w:gridCol w:w="3136"/>
        <w:gridCol w:w="3680"/>
        <w:gridCol w:w="4129"/>
        <w:gridCol w:w="2671"/>
      </w:tblGrid>
      <w:tr w:rsidR="00D12A65" w:rsidRPr="009D1CC6" w:rsidTr="00491237">
        <w:tc>
          <w:tcPr>
            <w:tcW w:w="1121" w:type="dxa"/>
            <w:shd w:val="clear" w:color="auto" w:fill="D9E2F3" w:themeFill="accent1" w:themeFillTint="33"/>
          </w:tcPr>
          <w:p w:rsidR="00D12A65" w:rsidRPr="009D1CC6" w:rsidRDefault="00D12A65" w:rsidP="00491237">
            <w:pPr>
              <w:rPr>
                <w:rFonts w:cs="Arial"/>
                <w:b/>
              </w:rPr>
            </w:pPr>
            <w:r w:rsidRPr="009D1CC6">
              <w:rPr>
                <w:rFonts w:cs="Arial"/>
                <w:b/>
              </w:rPr>
              <w:lastRenderedPageBreak/>
              <w:t xml:space="preserve">Domain </w:t>
            </w:r>
          </w:p>
        </w:tc>
        <w:tc>
          <w:tcPr>
            <w:tcW w:w="3136" w:type="dxa"/>
            <w:shd w:val="clear" w:color="auto" w:fill="D9E2F3" w:themeFill="accent1" w:themeFillTint="33"/>
          </w:tcPr>
          <w:p w:rsidR="00D12A65" w:rsidRPr="009D1CC6" w:rsidRDefault="00D12A65" w:rsidP="00491237">
            <w:pPr>
              <w:rPr>
                <w:rFonts w:cs="Arial"/>
                <w:b/>
              </w:rPr>
            </w:pPr>
            <w:r w:rsidRPr="009D1CC6">
              <w:rPr>
                <w:rFonts w:cs="Arial"/>
                <w:b/>
              </w:rPr>
              <w:t xml:space="preserve">Outcome </w:t>
            </w:r>
          </w:p>
        </w:tc>
        <w:tc>
          <w:tcPr>
            <w:tcW w:w="3680" w:type="dxa"/>
            <w:shd w:val="clear" w:color="auto" w:fill="D9E2F3" w:themeFill="accent1" w:themeFillTint="33"/>
          </w:tcPr>
          <w:p w:rsidR="00D12A65" w:rsidRPr="009D1CC6" w:rsidRDefault="00D12A65" w:rsidP="00491237">
            <w:pPr>
              <w:rPr>
                <w:rFonts w:cs="Arial"/>
                <w:b/>
              </w:rPr>
            </w:pPr>
            <w:r w:rsidRPr="009D1CC6">
              <w:rPr>
                <w:rFonts w:cs="Arial"/>
                <w:b/>
              </w:rPr>
              <w:t>Objective</w:t>
            </w:r>
          </w:p>
        </w:tc>
        <w:tc>
          <w:tcPr>
            <w:tcW w:w="4129" w:type="dxa"/>
            <w:shd w:val="clear" w:color="auto" w:fill="D9E2F3" w:themeFill="accent1" w:themeFillTint="33"/>
          </w:tcPr>
          <w:p w:rsidR="00D12A65" w:rsidRPr="009D1CC6" w:rsidRDefault="00D12A65" w:rsidP="00491237">
            <w:pPr>
              <w:rPr>
                <w:rFonts w:cs="Arial"/>
                <w:b/>
              </w:rPr>
            </w:pPr>
            <w:r w:rsidRPr="009D1CC6">
              <w:rPr>
                <w:rFonts w:cs="Arial"/>
                <w:b/>
              </w:rPr>
              <w:t>Action</w:t>
            </w:r>
          </w:p>
        </w:tc>
        <w:tc>
          <w:tcPr>
            <w:tcW w:w="2671" w:type="dxa"/>
            <w:shd w:val="clear" w:color="auto" w:fill="D9E2F3" w:themeFill="accent1" w:themeFillTint="33"/>
          </w:tcPr>
          <w:p w:rsidR="00D12A65" w:rsidRPr="009D1CC6" w:rsidRDefault="00D12A65" w:rsidP="00491237">
            <w:pPr>
              <w:rPr>
                <w:rFonts w:cs="Arial"/>
                <w:b/>
              </w:rPr>
            </w:pPr>
            <w:r w:rsidRPr="009D1CC6">
              <w:rPr>
                <w:rFonts w:cs="Arial"/>
                <w:b/>
              </w:rPr>
              <w:t>Completion date</w:t>
            </w:r>
          </w:p>
        </w:tc>
      </w:tr>
      <w:tr w:rsidR="00D12A65" w:rsidRPr="009D1CC6" w:rsidTr="00491237">
        <w:trPr>
          <w:cantSplit/>
          <w:trHeight w:val="1020"/>
        </w:trPr>
        <w:tc>
          <w:tcPr>
            <w:tcW w:w="1121" w:type="dxa"/>
            <w:vMerge w:val="restart"/>
            <w:shd w:val="clear" w:color="auto" w:fill="D9E2F3" w:themeFill="accent1" w:themeFillTint="33"/>
            <w:textDirection w:val="btLr"/>
            <w:vAlign w:val="center"/>
          </w:tcPr>
          <w:p w:rsidR="00D12A65" w:rsidRPr="009D1CC6" w:rsidRDefault="00D12A65" w:rsidP="00491237">
            <w:pPr>
              <w:ind w:left="113" w:right="113"/>
              <w:jc w:val="center"/>
              <w:rPr>
                <w:rFonts w:cs="Arial"/>
              </w:rPr>
            </w:pPr>
            <w:r w:rsidRPr="009D1CC6">
              <w:rPr>
                <w:rFonts w:cs="Arial"/>
                <w:b/>
              </w:rPr>
              <w:t>Domain 1: Commissioned or provided services</w:t>
            </w:r>
          </w:p>
          <w:p w:rsidR="00D12A65" w:rsidRPr="009D1CC6" w:rsidRDefault="00D12A65" w:rsidP="00491237">
            <w:pPr>
              <w:ind w:left="113" w:right="113"/>
              <w:jc w:val="center"/>
              <w:rPr>
                <w:rFonts w:cs="Arial"/>
              </w:rPr>
            </w:pPr>
          </w:p>
        </w:tc>
        <w:tc>
          <w:tcPr>
            <w:tcW w:w="3136" w:type="dxa"/>
            <w:shd w:val="clear" w:color="auto" w:fill="D9E2F3" w:themeFill="accent1" w:themeFillTint="33"/>
          </w:tcPr>
          <w:p w:rsidR="00D12A65" w:rsidRPr="009D1CC6" w:rsidRDefault="00D12A65" w:rsidP="00491237">
            <w:pPr>
              <w:rPr>
                <w:rFonts w:cs="Arial"/>
              </w:rPr>
            </w:pPr>
            <w:r w:rsidRPr="009D1CC6">
              <w:rPr>
                <w:rFonts w:cs="Arial"/>
              </w:rPr>
              <w:t>1A:</w:t>
            </w:r>
            <w:r>
              <w:rPr>
                <w:rFonts w:cs="Arial"/>
              </w:rPr>
              <w:t xml:space="preserve"> </w:t>
            </w:r>
            <w:r w:rsidRPr="009D1CC6">
              <w:rPr>
                <w:rFonts w:cs="Arial"/>
              </w:rPr>
              <w:t>Patients (service users) have required levels of access to the service</w:t>
            </w:r>
          </w:p>
        </w:tc>
        <w:tc>
          <w:tcPr>
            <w:tcW w:w="3680" w:type="dxa"/>
          </w:tcPr>
          <w:p w:rsidR="00D12A65" w:rsidRDefault="00D12A65" w:rsidP="00491237">
            <w:pPr>
              <w:pStyle w:val="TableText"/>
            </w:pPr>
            <w:r w:rsidRPr="000C7FDB">
              <w:t>Enhance performance reporting analysis</w:t>
            </w:r>
            <w:r>
              <w:t xml:space="preserve"> to accurately identify service users and non-users to inform service development and action planning to increase tailored access to those with protected characteristics.</w:t>
            </w:r>
          </w:p>
          <w:p w:rsidR="00D12A65" w:rsidRDefault="00D12A65" w:rsidP="00491237">
            <w:pPr>
              <w:pStyle w:val="TableText"/>
            </w:pPr>
          </w:p>
          <w:p w:rsidR="00D12A65" w:rsidRDefault="00D12A65" w:rsidP="00491237">
            <w:pPr>
              <w:pStyle w:val="TableText"/>
            </w:pPr>
            <w:r>
              <w:t>Audit the implementation of the national standard Green Light Toolkit.</w:t>
            </w:r>
          </w:p>
          <w:p w:rsidR="00D12A65" w:rsidRDefault="00D12A65" w:rsidP="00491237">
            <w:pPr>
              <w:pStyle w:val="TableText"/>
            </w:pPr>
          </w:p>
          <w:p w:rsidR="00D12A65" w:rsidRDefault="00D12A65" w:rsidP="00491237">
            <w:pPr>
              <w:pStyle w:val="TableText"/>
            </w:pPr>
          </w:p>
          <w:p w:rsidR="00D12A65" w:rsidRDefault="00D12A65" w:rsidP="00491237">
            <w:pPr>
              <w:pStyle w:val="TableText"/>
            </w:pPr>
          </w:p>
          <w:p w:rsidR="00D91EA0" w:rsidRDefault="00D91EA0" w:rsidP="00491237">
            <w:pPr>
              <w:pStyle w:val="TableText"/>
            </w:pPr>
          </w:p>
          <w:p w:rsidR="00D91EA0" w:rsidRDefault="00D91EA0" w:rsidP="00491237">
            <w:pPr>
              <w:pStyle w:val="TableText"/>
            </w:pPr>
          </w:p>
          <w:p w:rsidR="00D12A65" w:rsidRPr="009D1CC6" w:rsidRDefault="00D12A65" w:rsidP="00D12A65">
            <w:pPr>
              <w:pStyle w:val="TableText"/>
            </w:pPr>
            <w:r>
              <w:t>Develop local community partnerships to work collaboratively to inform service development and promotion of service with the aim to meet the needs of the local demographic, meeting the needs of protected characteristic groups and those currently under- represented in service delivery.</w:t>
            </w:r>
          </w:p>
        </w:tc>
        <w:tc>
          <w:tcPr>
            <w:tcW w:w="4129" w:type="dxa"/>
          </w:tcPr>
          <w:p w:rsidR="00D12A65" w:rsidRDefault="00D12A65" w:rsidP="00D12A65">
            <w:pPr>
              <w:pStyle w:val="TableText"/>
              <w:numPr>
                <w:ilvl w:val="0"/>
                <w:numId w:val="2"/>
              </w:numPr>
            </w:pPr>
            <w:r>
              <w:t>Work with staff, internal (</w:t>
            </w:r>
            <w:proofErr w:type="spellStart"/>
            <w:r>
              <w:t>ie</w:t>
            </w:r>
            <w:proofErr w:type="spellEnd"/>
            <w:r>
              <w:t>-Digital transformation) and external partners (</w:t>
            </w:r>
            <w:proofErr w:type="spellStart"/>
            <w:r>
              <w:t>ie</w:t>
            </w:r>
            <w:proofErr w:type="spellEnd"/>
            <w:r>
              <w:t>- ICB) to improve equality data capture and recording in respect of all protected characteristics, identifying and addressing barriers to accurately capturing and recording data.</w:t>
            </w:r>
          </w:p>
          <w:p w:rsidR="00D12A65" w:rsidRDefault="00D12A65" w:rsidP="00491237">
            <w:pPr>
              <w:pStyle w:val="TableText"/>
            </w:pPr>
          </w:p>
          <w:p w:rsidR="00D12A65" w:rsidRDefault="00D12A65" w:rsidP="00D12A65">
            <w:pPr>
              <w:pStyle w:val="TableText"/>
              <w:numPr>
                <w:ilvl w:val="0"/>
                <w:numId w:val="2"/>
              </w:numPr>
            </w:pPr>
            <w:r>
              <w:t>Work with the Performance Team to introduce a consistent standard of performance reporting across services.</w:t>
            </w:r>
          </w:p>
          <w:p w:rsidR="00D12A65" w:rsidRDefault="00D12A65" w:rsidP="00491237">
            <w:pPr>
              <w:pStyle w:val="TableText"/>
            </w:pPr>
          </w:p>
          <w:p w:rsidR="00D12A65" w:rsidRDefault="00D12A65" w:rsidP="00491237">
            <w:pPr>
              <w:pStyle w:val="TableText"/>
            </w:pPr>
          </w:p>
          <w:p w:rsidR="00D12A65" w:rsidRDefault="00D12A65" w:rsidP="00D12A65">
            <w:pPr>
              <w:pStyle w:val="TableText"/>
              <w:numPr>
                <w:ilvl w:val="0"/>
                <w:numId w:val="1"/>
              </w:numPr>
            </w:pPr>
            <w:r>
              <w:t>Develop information and working relationships with local community groups and organisations representing marginalised groups in local communities.</w:t>
            </w:r>
          </w:p>
          <w:p w:rsidR="00D12A65" w:rsidRDefault="00D12A65" w:rsidP="00491237">
            <w:pPr>
              <w:pStyle w:val="TableText"/>
            </w:pPr>
          </w:p>
          <w:p w:rsidR="00D12A65" w:rsidRPr="009D1CC6" w:rsidRDefault="00D12A65" w:rsidP="00D12A65">
            <w:pPr>
              <w:pStyle w:val="TableText"/>
              <w:numPr>
                <w:ilvl w:val="0"/>
                <w:numId w:val="1"/>
              </w:numPr>
            </w:pPr>
            <w:r>
              <w:t>Identify representatives for local service teams to be a point of contact for community partnership organisations.</w:t>
            </w:r>
          </w:p>
        </w:tc>
        <w:tc>
          <w:tcPr>
            <w:tcW w:w="2671" w:type="dxa"/>
          </w:tcPr>
          <w:p w:rsidR="00D12A65" w:rsidRDefault="00D12A65" w:rsidP="00491237">
            <w:pPr>
              <w:pStyle w:val="TableText"/>
            </w:pPr>
            <w:r>
              <w:t xml:space="preserve">EDI Practitioner (Patient Lead) </w:t>
            </w:r>
          </w:p>
          <w:p w:rsidR="00D12A65" w:rsidRDefault="00D12A65" w:rsidP="00491237">
            <w:pPr>
              <w:pStyle w:val="TableText"/>
            </w:pPr>
          </w:p>
          <w:p w:rsidR="00D12A65" w:rsidRDefault="00D12A65" w:rsidP="00491237">
            <w:pPr>
              <w:pStyle w:val="TableText"/>
            </w:pPr>
            <w:r>
              <w:t>Senior Business Intelligence Developer</w:t>
            </w:r>
          </w:p>
          <w:p w:rsidR="00D12A65" w:rsidRDefault="00D12A65" w:rsidP="00491237">
            <w:pPr>
              <w:pStyle w:val="TableText"/>
            </w:pPr>
          </w:p>
          <w:p w:rsidR="00D12A65" w:rsidRDefault="00D12A65" w:rsidP="00491237">
            <w:pPr>
              <w:pStyle w:val="TableText"/>
            </w:pPr>
            <w:r>
              <w:t>Performance Officer</w:t>
            </w:r>
          </w:p>
          <w:p w:rsidR="00D12A65" w:rsidRDefault="00D12A65" w:rsidP="00491237">
            <w:pPr>
              <w:pStyle w:val="TableText"/>
            </w:pPr>
          </w:p>
          <w:p w:rsidR="00D12A65" w:rsidRDefault="00D12A65" w:rsidP="00491237">
            <w:pPr>
              <w:pStyle w:val="TableText"/>
            </w:pPr>
            <w:r>
              <w:t>Promoting Safe Services Manager</w:t>
            </w:r>
          </w:p>
          <w:p w:rsidR="00D12A65" w:rsidRDefault="00D12A65" w:rsidP="00491237">
            <w:pPr>
              <w:pStyle w:val="TableText"/>
            </w:pPr>
          </w:p>
          <w:p w:rsidR="00D12A65" w:rsidRDefault="00D12A65" w:rsidP="00491237">
            <w:pPr>
              <w:pStyle w:val="TableText"/>
            </w:pPr>
            <w:r>
              <w:t>Patient Experience Manager</w:t>
            </w:r>
          </w:p>
          <w:p w:rsidR="00D12A65" w:rsidRDefault="00D12A65" w:rsidP="00491237">
            <w:pPr>
              <w:pStyle w:val="TableText"/>
            </w:pPr>
          </w:p>
          <w:p w:rsidR="00D12A65" w:rsidRDefault="00D12A65" w:rsidP="00491237">
            <w:pPr>
              <w:pStyle w:val="TableText"/>
            </w:pPr>
          </w:p>
          <w:p w:rsidR="00D12A65" w:rsidRPr="009D1CC6" w:rsidRDefault="00D12A65" w:rsidP="00491237">
            <w:pPr>
              <w:pStyle w:val="TableText"/>
            </w:pPr>
            <w:r>
              <w:t xml:space="preserve">January 2025 </w:t>
            </w:r>
          </w:p>
        </w:tc>
      </w:tr>
      <w:tr w:rsidR="00D12A65" w:rsidRPr="009D1CC6" w:rsidTr="00491237">
        <w:trPr>
          <w:cantSplit/>
          <w:trHeight w:val="1020"/>
        </w:trPr>
        <w:tc>
          <w:tcPr>
            <w:tcW w:w="1121" w:type="dxa"/>
            <w:vMerge/>
            <w:shd w:val="clear" w:color="auto" w:fill="D9E2F3" w:themeFill="accent1" w:themeFillTint="33"/>
          </w:tcPr>
          <w:p w:rsidR="00D12A65" w:rsidRPr="009D1CC6" w:rsidRDefault="00D12A65" w:rsidP="00491237">
            <w:pPr>
              <w:rPr>
                <w:rFonts w:cs="Arial"/>
              </w:rPr>
            </w:pPr>
          </w:p>
        </w:tc>
        <w:tc>
          <w:tcPr>
            <w:tcW w:w="3136" w:type="dxa"/>
            <w:shd w:val="clear" w:color="auto" w:fill="D9E2F3" w:themeFill="accent1" w:themeFillTint="33"/>
          </w:tcPr>
          <w:p w:rsidR="00D12A65" w:rsidRPr="009D1CC6" w:rsidRDefault="00D12A65" w:rsidP="00491237">
            <w:pPr>
              <w:rPr>
                <w:rFonts w:cs="Arial"/>
              </w:rPr>
            </w:pPr>
            <w:r w:rsidRPr="009D1CC6">
              <w:rPr>
                <w:rFonts w:cs="Arial"/>
              </w:rPr>
              <w:t>1B: Individual patients (service users) health needs are met</w:t>
            </w:r>
          </w:p>
        </w:tc>
        <w:tc>
          <w:tcPr>
            <w:tcW w:w="3680" w:type="dxa"/>
          </w:tcPr>
          <w:p w:rsidR="00D12A65" w:rsidRPr="009D1CC6" w:rsidRDefault="00D12A65" w:rsidP="00491237">
            <w:pPr>
              <w:pStyle w:val="TableText"/>
            </w:pPr>
            <w:r>
              <w:t>Record and monitor patient and service user outcomes, ensuring required standards are met or exceeded for those with protected characteristics.</w:t>
            </w:r>
          </w:p>
        </w:tc>
        <w:tc>
          <w:tcPr>
            <w:tcW w:w="4129" w:type="dxa"/>
          </w:tcPr>
          <w:p w:rsidR="00D12A65" w:rsidRDefault="00D12A65" w:rsidP="00D12A65">
            <w:pPr>
              <w:pStyle w:val="TableText"/>
              <w:numPr>
                <w:ilvl w:val="0"/>
                <w:numId w:val="5"/>
              </w:numPr>
            </w:pPr>
            <w:r>
              <w:t>Enhance monitoring of patient outcomes using protected characteristic data.</w:t>
            </w:r>
          </w:p>
          <w:p w:rsidR="00D12A65" w:rsidRDefault="00D12A65" w:rsidP="00491237">
            <w:pPr>
              <w:pStyle w:val="TableText"/>
              <w:ind w:left="720"/>
            </w:pPr>
          </w:p>
          <w:p w:rsidR="00D12A65" w:rsidRPr="009D1CC6" w:rsidRDefault="00D12A65" w:rsidP="00D12A65">
            <w:pPr>
              <w:pStyle w:val="TableText"/>
              <w:numPr>
                <w:ilvl w:val="0"/>
                <w:numId w:val="5"/>
              </w:numPr>
            </w:pPr>
            <w:r>
              <w:t>Analyse data to identify health inequalities, informing service development action planning to improve patient outcomes in line with PCREF (Patient and Carer Race Equality Framework).</w:t>
            </w:r>
          </w:p>
        </w:tc>
        <w:tc>
          <w:tcPr>
            <w:tcW w:w="2671" w:type="dxa"/>
          </w:tcPr>
          <w:p w:rsidR="00D12A65" w:rsidRDefault="00D12A65" w:rsidP="00491237">
            <w:pPr>
              <w:pStyle w:val="TableText"/>
            </w:pPr>
            <w:r>
              <w:t xml:space="preserve">EDI Practitioner (Patient Lead) </w:t>
            </w:r>
          </w:p>
          <w:p w:rsidR="00D12A65" w:rsidRDefault="00D12A65" w:rsidP="00491237">
            <w:pPr>
              <w:pStyle w:val="TableText"/>
            </w:pPr>
          </w:p>
          <w:p w:rsidR="00D12A65" w:rsidRDefault="00D12A65" w:rsidP="00491237">
            <w:pPr>
              <w:pStyle w:val="TableText"/>
            </w:pPr>
            <w:r>
              <w:t>Senior Business Intelligence Developer</w:t>
            </w:r>
          </w:p>
          <w:p w:rsidR="00D12A65" w:rsidRDefault="00D12A65" w:rsidP="00491237">
            <w:pPr>
              <w:pStyle w:val="TableText"/>
            </w:pPr>
          </w:p>
          <w:p w:rsidR="00D12A65" w:rsidRDefault="00D12A65" w:rsidP="00491237">
            <w:pPr>
              <w:pStyle w:val="TableText"/>
            </w:pPr>
            <w:r>
              <w:t>Performance Officer</w:t>
            </w:r>
          </w:p>
          <w:p w:rsidR="00D12A65" w:rsidRDefault="00D12A65" w:rsidP="00491237">
            <w:pPr>
              <w:pStyle w:val="TableText"/>
            </w:pPr>
          </w:p>
          <w:p w:rsidR="00D12A65" w:rsidRDefault="00D12A65" w:rsidP="00491237">
            <w:pPr>
              <w:pStyle w:val="TableText"/>
            </w:pPr>
            <w:r>
              <w:t>Promoting Safe Services Manager</w:t>
            </w:r>
          </w:p>
          <w:p w:rsidR="00D12A65" w:rsidRDefault="00D12A65" w:rsidP="00491237">
            <w:pPr>
              <w:pStyle w:val="TableText"/>
            </w:pPr>
          </w:p>
          <w:p w:rsidR="00D12A65" w:rsidRDefault="00D12A65" w:rsidP="00491237">
            <w:pPr>
              <w:pStyle w:val="TableText"/>
            </w:pPr>
            <w:r>
              <w:t>Patient Experience Manager</w:t>
            </w:r>
          </w:p>
          <w:p w:rsidR="00D12A65" w:rsidRDefault="00D12A65" w:rsidP="00491237">
            <w:pPr>
              <w:pStyle w:val="TableText"/>
            </w:pPr>
          </w:p>
          <w:p w:rsidR="00D12A65" w:rsidRDefault="00D12A65" w:rsidP="00491237">
            <w:pPr>
              <w:pStyle w:val="TableText"/>
            </w:pPr>
          </w:p>
          <w:p w:rsidR="00D12A65" w:rsidRPr="009D1CC6" w:rsidRDefault="00D12A65" w:rsidP="00491237">
            <w:pPr>
              <w:pStyle w:val="TableText"/>
            </w:pPr>
            <w:r>
              <w:t>January 2025</w:t>
            </w:r>
          </w:p>
        </w:tc>
      </w:tr>
      <w:tr w:rsidR="00D12A65" w:rsidRPr="009D1CC6" w:rsidTr="00491237">
        <w:trPr>
          <w:cantSplit/>
          <w:trHeight w:val="1020"/>
        </w:trPr>
        <w:tc>
          <w:tcPr>
            <w:tcW w:w="1121" w:type="dxa"/>
            <w:vMerge/>
            <w:shd w:val="clear" w:color="auto" w:fill="D9E2F3" w:themeFill="accent1" w:themeFillTint="33"/>
          </w:tcPr>
          <w:p w:rsidR="00D12A65" w:rsidRPr="009D1CC6" w:rsidRDefault="00D12A65" w:rsidP="00491237">
            <w:pPr>
              <w:rPr>
                <w:rFonts w:cs="Arial"/>
              </w:rPr>
            </w:pPr>
          </w:p>
        </w:tc>
        <w:tc>
          <w:tcPr>
            <w:tcW w:w="3136" w:type="dxa"/>
            <w:shd w:val="clear" w:color="auto" w:fill="D9E2F3" w:themeFill="accent1" w:themeFillTint="33"/>
          </w:tcPr>
          <w:p w:rsidR="00D12A65" w:rsidRPr="009D1CC6" w:rsidRDefault="00D12A65" w:rsidP="00491237">
            <w:pPr>
              <w:rPr>
                <w:rFonts w:cs="Arial"/>
              </w:rPr>
            </w:pPr>
            <w:r w:rsidRPr="009D1CC6">
              <w:rPr>
                <w:rFonts w:cs="Arial"/>
              </w:rPr>
              <w:t>1C: When patients (service users) use the service, they are free from harm</w:t>
            </w:r>
          </w:p>
        </w:tc>
        <w:tc>
          <w:tcPr>
            <w:tcW w:w="3680" w:type="dxa"/>
          </w:tcPr>
          <w:p w:rsidR="00D12A65" w:rsidRPr="009D1CC6" w:rsidRDefault="00D12A65" w:rsidP="00491237">
            <w:pPr>
              <w:pStyle w:val="TableText"/>
            </w:pPr>
            <w:r>
              <w:t>Ensure patient and service user safety when accessing services.</w:t>
            </w:r>
          </w:p>
        </w:tc>
        <w:tc>
          <w:tcPr>
            <w:tcW w:w="4129" w:type="dxa"/>
          </w:tcPr>
          <w:p w:rsidR="00D12A65" w:rsidRDefault="00D12A65" w:rsidP="00D12A65">
            <w:pPr>
              <w:pStyle w:val="TableText"/>
              <w:numPr>
                <w:ilvl w:val="0"/>
                <w:numId w:val="4"/>
              </w:numPr>
            </w:pPr>
            <w:r>
              <w:t>Develop internal training and learning opportunities to improve risk assessment and effective working with high risk groups with protected characteristics, health inequalities.</w:t>
            </w:r>
          </w:p>
          <w:p w:rsidR="00D12A65" w:rsidRDefault="00D12A65" w:rsidP="00491237">
            <w:pPr>
              <w:pStyle w:val="TableText"/>
              <w:ind w:left="720"/>
            </w:pPr>
          </w:p>
          <w:p w:rsidR="00D12A65" w:rsidRPr="009D1CC6" w:rsidRDefault="00D12A65" w:rsidP="00D12A65">
            <w:pPr>
              <w:pStyle w:val="TableText"/>
              <w:numPr>
                <w:ilvl w:val="0"/>
                <w:numId w:val="4"/>
              </w:numPr>
            </w:pPr>
            <w:r>
              <w:t xml:space="preserve">Promote use of Equality Impact Assessment tool and monitor compliance with reporting and implementing patient safety procedures and initiatives to reduce risk of harm. </w:t>
            </w:r>
          </w:p>
        </w:tc>
        <w:tc>
          <w:tcPr>
            <w:tcW w:w="2671" w:type="dxa"/>
          </w:tcPr>
          <w:p w:rsidR="00D12A65" w:rsidRDefault="00D12A65" w:rsidP="00491237">
            <w:pPr>
              <w:pStyle w:val="TableText"/>
            </w:pPr>
            <w:r>
              <w:t xml:space="preserve">EDI Practitioner (Patient Lead) </w:t>
            </w:r>
          </w:p>
          <w:p w:rsidR="00D12A65" w:rsidRDefault="00D12A65" w:rsidP="00491237">
            <w:pPr>
              <w:pStyle w:val="TableText"/>
            </w:pPr>
          </w:p>
          <w:p w:rsidR="00D12A65" w:rsidRDefault="00D12A65" w:rsidP="00491237">
            <w:pPr>
              <w:pStyle w:val="TableText"/>
            </w:pPr>
            <w:r>
              <w:t>Promoting Safe Services Manager</w:t>
            </w:r>
          </w:p>
          <w:p w:rsidR="00D12A65" w:rsidRDefault="00D12A65" w:rsidP="00491237">
            <w:pPr>
              <w:pStyle w:val="TableText"/>
            </w:pPr>
          </w:p>
          <w:p w:rsidR="00D12A65" w:rsidRDefault="00D12A65" w:rsidP="00491237">
            <w:pPr>
              <w:pStyle w:val="TableText"/>
            </w:pPr>
          </w:p>
          <w:p w:rsidR="00D12A65" w:rsidRDefault="00D12A65" w:rsidP="00491237">
            <w:pPr>
              <w:pStyle w:val="TableText"/>
            </w:pPr>
          </w:p>
          <w:p w:rsidR="00F97496" w:rsidRDefault="00F97496" w:rsidP="00491237">
            <w:pPr>
              <w:pStyle w:val="TableText"/>
            </w:pPr>
          </w:p>
          <w:p w:rsidR="00F97496" w:rsidRDefault="00F97496" w:rsidP="00491237">
            <w:pPr>
              <w:pStyle w:val="TableText"/>
            </w:pPr>
          </w:p>
          <w:p w:rsidR="00F97496" w:rsidRDefault="00F97496" w:rsidP="00491237">
            <w:pPr>
              <w:pStyle w:val="TableText"/>
            </w:pPr>
          </w:p>
          <w:p w:rsidR="00F97496" w:rsidRDefault="00F97496" w:rsidP="00491237">
            <w:pPr>
              <w:pStyle w:val="TableText"/>
            </w:pPr>
          </w:p>
          <w:p w:rsidR="00F97496" w:rsidRDefault="00F97496" w:rsidP="00491237">
            <w:pPr>
              <w:pStyle w:val="TableText"/>
            </w:pPr>
          </w:p>
          <w:p w:rsidR="00D12A65" w:rsidRDefault="00D12A65" w:rsidP="00491237">
            <w:pPr>
              <w:pStyle w:val="TableText"/>
            </w:pPr>
          </w:p>
          <w:p w:rsidR="00D12A65" w:rsidRPr="009D1CC6" w:rsidRDefault="00D12A65" w:rsidP="00491237">
            <w:pPr>
              <w:pStyle w:val="TableText"/>
            </w:pPr>
            <w:r>
              <w:t>Jan</w:t>
            </w:r>
            <w:r w:rsidR="00F97496">
              <w:t>uary</w:t>
            </w:r>
            <w:r>
              <w:t xml:space="preserve"> 2025</w:t>
            </w:r>
          </w:p>
        </w:tc>
      </w:tr>
      <w:tr w:rsidR="00D12A65" w:rsidRPr="009D1CC6" w:rsidTr="00491237">
        <w:trPr>
          <w:cantSplit/>
          <w:trHeight w:val="1020"/>
        </w:trPr>
        <w:tc>
          <w:tcPr>
            <w:tcW w:w="1121" w:type="dxa"/>
            <w:vMerge/>
            <w:shd w:val="clear" w:color="auto" w:fill="D9E2F3" w:themeFill="accent1" w:themeFillTint="33"/>
          </w:tcPr>
          <w:p w:rsidR="00D12A65" w:rsidRPr="009D1CC6" w:rsidRDefault="00D12A65" w:rsidP="00491237">
            <w:pPr>
              <w:rPr>
                <w:rFonts w:cs="Arial"/>
              </w:rPr>
            </w:pPr>
          </w:p>
        </w:tc>
        <w:tc>
          <w:tcPr>
            <w:tcW w:w="3136" w:type="dxa"/>
            <w:shd w:val="clear" w:color="auto" w:fill="D9E2F3" w:themeFill="accent1" w:themeFillTint="33"/>
          </w:tcPr>
          <w:p w:rsidR="00D12A65" w:rsidRPr="009D1CC6" w:rsidRDefault="00D12A65" w:rsidP="00491237">
            <w:pPr>
              <w:rPr>
                <w:rFonts w:cs="Arial"/>
              </w:rPr>
            </w:pPr>
            <w:r w:rsidRPr="009D1CC6">
              <w:rPr>
                <w:rFonts w:cs="Arial"/>
              </w:rPr>
              <w:t>1D: Patients (service users) report positive experiences of the service</w:t>
            </w:r>
          </w:p>
        </w:tc>
        <w:tc>
          <w:tcPr>
            <w:tcW w:w="3680" w:type="dxa"/>
          </w:tcPr>
          <w:p w:rsidR="00D12A65" w:rsidRDefault="00D12A65" w:rsidP="00491237">
            <w:pPr>
              <w:pStyle w:val="TableText"/>
            </w:pPr>
            <w:r>
              <w:t xml:space="preserve">Increase the number of </w:t>
            </w:r>
            <w:r w:rsidR="00F97496">
              <w:t>Patient reported experience measures (</w:t>
            </w:r>
            <w:proofErr w:type="gramStart"/>
            <w:r w:rsidR="00F97496">
              <w:t>PREM)</w:t>
            </w:r>
            <w:r>
              <w:t xml:space="preserve">  and</w:t>
            </w:r>
            <w:proofErr w:type="gramEnd"/>
            <w:r>
              <w:t xml:space="preserve"> Family, Friends and carers returns from those with protected characteristics.</w:t>
            </w:r>
          </w:p>
          <w:p w:rsidR="00D12A65" w:rsidRDefault="00D12A65" w:rsidP="00491237">
            <w:pPr>
              <w:pStyle w:val="TableText"/>
            </w:pPr>
          </w:p>
          <w:p w:rsidR="00D12A65" w:rsidRDefault="00D12A65" w:rsidP="00491237">
            <w:pPr>
              <w:pStyle w:val="TableText"/>
            </w:pPr>
          </w:p>
          <w:p w:rsidR="00D12A65" w:rsidRPr="009D1CC6" w:rsidRDefault="00D12A65" w:rsidP="00491237">
            <w:pPr>
              <w:pStyle w:val="TableText"/>
            </w:pPr>
            <w:r>
              <w:t>Increase opportunities for service users with protected characteristics to share feedback regarding experiences of the service</w:t>
            </w:r>
          </w:p>
        </w:tc>
        <w:tc>
          <w:tcPr>
            <w:tcW w:w="4129" w:type="dxa"/>
          </w:tcPr>
          <w:p w:rsidR="00D12A65" w:rsidRDefault="00D12A65" w:rsidP="00D12A65">
            <w:pPr>
              <w:pStyle w:val="TableText"/>
              <w:numPr>
                <w:ilvl w:val="0"/>
                <w:numId w:val="3"/>
              </w:numPr>
            </w:pPr>
            <w:r>
              <w:t xml:space="preserve">Promote choice of methods for patients and service users with protected characteristics, to meet access and engagement preferences. </w:t>
            </w:r>
          </w:p>
          <w:p w:rsidR="00D12A65" w:rsidRDefault="00D12A65" w:rsidP="00491237">
            <w:pPr>
              <w:pStyle w:val="TableText"/>
            </w:pPr>
          </w:p>
          <w:p w:rsidR="00F97496" w:rsidRDefault="00F97496" w:rsidP="00491237">
            <w:pPr>
              <w:pStyle w:val="TableText"/>
            </w:pPr>
          </w:p>
          <w:p w:rsidR="00D12A65" w:rsidRPr="009D1CC6" w:rsidRDefault="00D12A65" w:rsidP="00D12A65">
            <w:pPr>
              <w:pStyle w:val="TableText"/>
              <w:numPr>
                <w:ilvl w:val="0"/>
                <w:numId w:val="3"/>
              </w:numPr>
            </w:pPr>
            <w:r>
              <w:t>Establish and develop regular service user forums with representation from groups who experience health inequalities.</w:t>
            </w:r>
          </w:p>
        </w:tc>
        <w:tc>
          <w:tcPr>
            <w:tcW w:w="2671" w:type="dxa"/>
          </w:tcPr>
          <w:p w:rsidR="00D12A65" w:rsidRDefault="00D12A65" w:rsidP="00491237">
            <w:pPr>
              <w:pStyle w:val="TableText"/>
            </w:pPr>
            <w:r>
              <w:t xml:space="preserve">EDI Practitioner (Patient Lead) </w:t>
            </w:r>
          </w:p>
          <w:p w:rsidR="00D12A65" w:rsidRDefault="00D12A65" w:rsidP="00491237">
            <w:pPr>
              <w:pStyle w:val="TableText"/>
            </w:pPr>
          </w:p>
          <w:p w:rsidR="00D12A65" w:rsidRDefault="00D12A65" w:rsidP="00491237">
            <w:pPr>
              <w:pStyle w:val="TableText"/>
            </w:pPr>
            <w:r>
              <w:t>Patient Experience Manger</w:t>
            </w:r>
          </w:p>
          <w:p w:rsidR="00D12A65" w:rsidRDefault="00D12A65" w:rsidP="00491237">
            <w:pPr>
              <w:pStyle w:val="TableText"/>
            </w:pPr>
          </w:p>
          <w:p w:rsidR="00D12A65" w:rsidRDefault="00D12A65" w:rsidP="00491237">
            <w:pPr>
              <w:pStyle w:val="TableText"/>
            </w:pPr>
          </w:p>
          <w:p w:rsidR="00D12A65" w:rsidRDefault="00D12A65" w:rsidP="00491237">
            <w:pPr>
              <w:pStyle w:val="TableText"/>
            </w:pPr>
          </w:p>
          <w:p w:rsidR="00F97496" w:rsidRDefault="00F97496" w:rsidP="00491237">
            <w:pPr>
              <w:pStyle w:val="TableText"/>
            </w:pPr>
          </w:p>
          <w:p w:rsidR="00F97496" w:rsidRDefault="00F97496" w:rsidP="00491237">
            <w:pPr>
              <w:pStyle w:val="TableText"/>
            </w:pPr>
          </w:p>
          <w:p w:rsidR="00F97496" w:rsidRDefault="00F97496" w:rsidP="00491237">
            <w:pPr>
              <w:pStyle w:val="TableText"/>
            </w:pPr>
          </w:p>
          <w:p w:rsidR="00D12A65" w:rsidRPr="009D1CC6" w:rsidRDefault="00D12A65" w:rsidP="00491237">
            <w:pPr>
              <w:pStyle w:val="TableText"/>
            </w:pPr>
            <w:r>
              <w:t>January 2025</w:t>
            </w:r>
          </w:p>
        </w:tc>
      </w:tr>
    </w:tbl>
    <w:p w:rsidR="00D12A65" w:rsidRPr="009D1CC6" w:rsidRDefault="00D12A65" w:rsidP="00D12A65"/>
    <w:p w:rsidR="00D12A65" w:rsidRPr="009D1CC6" w:rsidRDefault="00D12A65" w:rsidP="00D12A65"/>
    <w:tbl>
      <w:tblPr>
        <w:tblStyle w:val="TableGrid"/>
        <w:tblW w:w="1487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62" w:type="dxa"/>
          <w:left w:w="62" w:type="dxa"/>
          <w:bottom w:w="62" w:type="dxa"/>
          <w:right w:w="62" w:type="dxa"/>
        </w:tblCellMar>
        <w:tblLook w:val="04A0" w:firstRow="1" w:lastRow="0" w:firstColumn="1" w:lastColumn="0" w:noHBand="0" w:noVBand="1"/>
      </w:tblPr>
      <w:tblGrid>
        <w:gridCol w:w="1121"/>
        <w:gridCol w:w="3149"/>
        <w:gridCol w:w="3696"/>
        <w:gridCol w:w="4153"/>
        <w:gridCol w:w="2760"/>
      </w:tblGrid>
      <w:tr w:rsidR="00D12A65" w:rsidRPr="009D1CC6" w:rsidTr="00491237">
        <w:tc>
          <w:tcPr>
            <w:tcW w:w="1121" w:type="dxa"/>
            <w:shd w:val="clear" w:color="auto" w:fill="FFF2CC" w:themeFill="accent4" w:themeFillTint="33"/>
          </w:tcPr>
          <w:p w:rsidR="00D12A65" w:rsidRPr="009D1CC6" w:rsidRDefault="00D12A65" w:rsidP="00491237">
            <w:pPr>
              <w:rPr>
                <w:rFonts w:cs="Arial"/>
                <w:b/>
              </w:rPr>
            </w:pPr>
            <w:r w:rsidRPr="009D1CC6">
              <w:rPr>
                <w:rFonts w:cs="Arial"/>
                <w:b/>
              </w:rPr>
              <w:t xml:space="preserve">Domain </w:t>
            </w:r>
          </w:p>
        </w:tc>
        <w:tc>
          <w:tcPr>
            <w:tcW w:w="3149" w:type="dxa"/>
            <w:shd w:val="clear" w:color="auto" w:fill="FFF2CC" w:themeFill="accent4" w:themeFillTint="33"/>
          </w:tcPr>
          <w:p w:rsidR="00D12A65" w:rsidRPr="009D1CC6" w:rsidRDefault="00D12A65" w:rsidP="00491237">
            <w:pPr>
              <w:rPr>
                <w:rFonts w:cs="Arial"/>
                <w:b/>
              </w:rPr>
            </w:pPr>
            <w:r w:rsidRPr="009D1CC6">
              <w:rPr>
                <w:rFonts w:cs="Arial"/>
                <w:b/>
              </w:rPr>
              <w:t xml:space="preserve">Outcome </w:t>
            </w:r>
          </w:p>
        </w:tc>
        <w:tc>
          <w:tcPr>
            <w:tcW w:w="3696" w:type="dxa"/>
            <w:shd w:val="clear" w:color="auto" w:fill="FFF2CC" w:themeFill="accent4" w:themeFillTint="33"/>
          </w:tcPr>
          <w:p w:rsidR="00D12A65" w:rsidRPr="009D1CC6" w:rsidRDefault="00D12A65" w:rsidP="00491237">
            <w:pPr>
              <w:rPr>
                <w:rFonts w:cs="Arial"/>
                <w:b/>
              </w:rPr>
            </w:pPr>
            <w:r w:rsidRPr="009D1CC6">
              <w:rPr>
                <w:rFonts w:cs="Arial"/>
                <w:b/>
              </w:rPr>
              <w:t>Objective</w:t>
            </w:r>
          </w:p>
        </w:tc>
        <w:tc>
          <w:tcPr>
            <w:tcW w:w="4153" w:type="dxa"/>
            <w:shd w:val="clear" w:color="auto" w:fill="FFF2CC" w:themeFill="accent4" w:themeFillTint="33"/>
          </w:tcPr>
          <w:p w:rsidR="00D12A65" w:rsidRPr="009D1CC6" w:rsidRDefault="00D12A65" w:rsidP="00491237">
            <w:pPr>
              <w:rPr>
                <w:rFonts w:cs="Arial"/>
                <w:b/>
              </w:rPr>
            </w:pPr>
            <w:r w:rsidRPr="009D1CC6">
              <w:rPr>
                <w:rFonts w:cs="Arial"/>
                <w:b/>
              </w:rPr>
              <w:t>Action</w:t>
            </w:r>
          </w:p>
        </w:tc>
        <w:tc>
          <w:tcPr>
            <w:tcW w:w="2760" w:type="dxa"/>
            <w:shd w:val="clear" w:color="auto" w:fill="FFF2CC" w:themeFill="accent4" w:themeFillTint="33"/>
          </w:tcPr>
          <w:p w:rsidR="00D12A65" w:rsidRPr="009D1CC6" w:rsidRDefault="00D12A65" w:rsidP="00491237">
            <w:pPr>
              <w:rPr>
                <w:rFonts w:cs="Arial"/>
                <w:b/>
              </w:rPr>
            </w:pPr>
            <w:r w:rsidRPr="009D1CC6">
              <w:rPr>
                <w:rFonts w:cs="Arial"/>
                <w:b/>
              </w:rPr>
              <w:t>Completion date</w:t>
            </w:r>
          </w:p>
        </w:tc>
      </w:tr>
      <w:tr w:rsidR="00D12A65" w:rsidRPr="009D1CC6" w:rsidTr="00491237">
        <w:trPr>
          <w:cantSplit/>
          <w:trHeight w:val="1701"/>
        </w:trPr>
        <w:tc>
          <w:tcPr>
            <w:tcW w:w="1121" w:type="dxa"/>
            <w:vMerge w:val="restart"/>
            <w:shd w:val="clear" w:color="auto" w:fill="FFF2CC" w:themeFill="accent4" w:themeFillTint="33"/>
            <w:textDirection w:val="btLr"/>
            <w:vAlign w:val="center"/>
          </w:tcPr>
          <w:p w:rsidR="00D12A65" w:rsidRPr="009D1CC6" w:rsidRDefault="00D12A65" w:rsidP="00491237">
            <w:pPr>
              <w:jc w:val="center"/>
              <w:rPr>
                <w:rFonts w:cs="Arial"/>
                <w:b/>
              </w:rPr>
            </w:pPr>
            <w:r w:rsidRPr="009D1CC6">
              <w:rPr>
                <w:rFonts w:cs="Arial"/>
                <w:b/>
              </w:rPr>
              <w:t>Domain 2:</w:t>
            </w:r>
          </w:p>
          <w:p w:rsidR="00D12A65" w:rsidRPr="009D1CC6" w:rsidRDefault="00D12A65" w:rsidP="00491237">
            <w:pPr>
              <w:jc w:val="center"/>
            </w:pPr>
            <w:r w:rsidRPr="009D1CC6">
              <w:rPr>
                <w:rFonts w:cs="Arial"/>
                <w:b/>
              </w:rPr>
              <w:t>Workforce health and well-being</w:t>
            </w:r>
          </w:p>
        </w:tc>
        <w:tc>
          <w:tcPr>
            <w:tcW w:w="3149" w:type="dxa"/>
            <w:shd w:val="clear" w:color="auto" w:fill="FFF2CC" w:themeFill="accent4" w:themeFillTint="33"/>
          </w:tcPr>
          <w:p w:rsidR="00D12A65" w:rsidRPr="009D1CC6" w:rsidRDefault="00D12A65" w:rsidP="00491237">
            <w:pPr>
              <w:rPr>
                <w:rFonts w:cs="Arial"/>
              </w:rPr>
            </w:pPr>
            <w:r w:rsidRPr="009D1CC6">
              <w:rPr>
                <w:rFonts w:cs="Arial"/>
              </w:rPr>
              <w:t>2A: When at work, staff are provided with support to manage obesity, diabetes, asthma, COPD and mental health conditions</w:t>
            </w:r>
          </w:p>
        </w:tc>
        <w:tc>
          <w:tcPr>
            <w:tcW w:w="3696" w:type="dxa"/>
          </w:tcPr>
          <w:p w:rsidR="00D12A65" w:rsidRPr="009D1CC6" w:rsidRDefault="00D12A65" w:rsidP="00491237">
            <w:pPr>
              <w:pStyle w:val="TableText"/>
            </w:pPr>
            <w:r w:rsidRPr="00777056">
              <w:t>To</w:t>
            </w:r>
            <w:r>
              <w:t xml:space="preserve"> provide the workforce with awareness of the impact of health inequalities on performance</w:t>
            </w:r>
          </w:p>
        </w:tc>
        <w:tc>
          <w:tcPr>
            <w:tcW w:w="4153" w:type="dxa"/>
          </w:tcPr>
          <w:p w:rsidR="00D12A65" w:rsidRPr="009D1CC6" w:rsidRDefault="00D12A65" w:rsidP="00D12A65">
            <w:pPr>
              <w:pStyle w:val="TableText"/>
              <w:numPr>
                <w:ilvl w:val="0"/>
                <w:numId w:val="9"/>
              </w:numPr>
            </w:pPr>
            <w:r w:rsidRPr="00777056">
              <w:t>Develop workshops</w:t>
            </w:r>
            <w:r>
              <w:t xml:space="preserve"> and resources</w:t>
            </w:r>
            <w:r w:rsidRPr="00777056">
              <w:t xml:space="preserve"> to support teams and services to understand Health inequalities within the workforce </w:t>
            </w:r>
          </w:p>
        </w:tc>
        <w:tc>
          <w:tcPr>
            <w:tcW w:w="2760" w:type="dxa"/>
          </w:tcPr>
          <w:p w:rsidR="00D12A65" w:rsidRDefault="00D12A65" w:rsidP="00491237">
            <w:pPr>
              <w:pStyle w:val="TableText"/>
            </w:pPr>
            <w:r>
              <w:t>EDI Team</w:t>
            </w:r>
          </w:p>
          <w:p w:rsidR="00D12A65" w:rsidRDefault="00D12A65" w:rsidP="00491237">
            <w:pPr>
              <w:pStyle w:val="TableText"/>
            </w:pPr>
            <w:r>
              <w:t>HWB Lead</w:t>
            </w:r>
          </w:p>
          <w:p w:rsidR="00D12A65" w:rsidRDefault="00D12A65" w:rsidP="00491237">
            <w:pPr>
              <w:pStyle w:val="TableText"/>
            </w:pPr>
            <w:r>
              <w:t>Health Inequalities Group</w:t>
            </w:r>
          </w:p>
          <w:p w:rsidR="00D12A65" w:rsidRDefault="00D12A65" w:rsidP="00491237">
            <w:pPr>
              <w:pStyle w:val="TableText"/>
            </w:pPr>
          </w:p>
          <w:p w:rsidR="00D12A65" w:rsidRPr="009D1CC6" w:rsidRDefault="00D12A65" w:rsidP="00491237">
            <w:pPr>
              <w:pStyle w:val="TableText"/>
            </w:pPr>
            <w:r>
              <w:t>January 2025</w:t>
            </w:r>
          </w:p>
        </w:tc>
      </w:tr>
      <w:tr w:rsidR="00D12A65" w:rsidRPr="009D1CC6" w:rsidTr="00491237">
        <w:trPr>
          <w:cantSplit/>
          <w:trHeight w:val="1701"/>
        </w:trPr>
        <w:tc>
          <w:tcPr>
            <w:tcW w:w="1121" w:type="dxa"/>
            <w:vMerge/>
            <w:shd w:val="clear" w:color="auto" w:fill="FFF2CC" w:themeFill="accent4" w:themeFillTint="33"/>
          </w:tcPr>
          <w:p w:rsidR="00D12A65" w:rsidRPr="009D1CC6" w:rsidRDefault="00D12A65" w:rsidP="00491237">
            <w:pPr>
              <w:rPr>
                <w:rFonts w:cs="Arial"/>
              </w:rPr>
            </w:pPr>
          </w:p>
        </w:tc>
        <w:tc>
          <w:tcPr>
            <w:tcW w:w="3149" w:type="dxa"/>
            <w:shd w:val="clear" w:color="auto" w:fill="FFF2CC" w:themeFill="accent4" w:themeFillTint="33"/>
          </w:tcPr>
          <w:p w:rsidR="00D12A65" w:rsidRPr="009D1CC6" w:rsidRDefault="00D12A65" w:rsidP="00491237">
            <w:pPr>
              <w:rPr>
                <w:rFonts w:cs="Arial"/>
              </w:rPr>
            </w:pPr>
            <w:r w:rsidRPr="009D1CC6">
              <w:rPr>
                <w:rFonts w:cs="Arial"/>
              </w:rPr>
              <w:t xml:space="preserve">2B: When at work, staff are free from abuse, harassment, bullying and physical violence from any source </w:t>
            </w:r>
          </w:p>
        </w:tc>
        <w:tc>
          <w:tcPr>
            <w:tcW w:w="3696" w:type="dxa"/>
          </w:tcPr>
          <w:p w:rsidR="00D12A65" w:rsidRPr="009D1CC6" w:rsidRDefault="00D12A65" w:rsidP="00491237">
            <w:pPr>
              <w:pStyle w:val="TableText"/>
            </w:pPr>
            <w:r>
              <w:t xml:space="preserve">Reduce the number of </w:t>
            </w:r>
            <w:proofErr w:type="gramStart"/>
            <w:r>
              <w:t>staff</w:t>
            </w:r>
            <w:proofErr w:type="gramEnd"/>
            <w:r>
              <w:t xml:space="preserve"> experiencing bullying, harassment and abuse at work.</w:t>
            </w:r>
          </w:p>
        </w:tc>
        <w:tc>
          <w:tcPr>
            <w:tcW w:w="4153" w:type="dxa"/>
          </w:tcPr>
          <w:p w:rsidR="00D12A65" w:rsidRDefault="00D12A65" w:rsidP="00D12A65">
            <w:pPr>
              <w:pStyle w:val="ListParagraph"/>
              <w:numPr>
                <w:ilvl w:val="0"/>
                <w:numId w:val="8"/>
              </w:numPr>
            </w:pPr>
            <w:r>
              <w:t>Support and contribute to Violence and Aggression Workstreams</w:t>
            </w:r>
          </w:p>
          <w:p w:rsidR="00D12A65" w:rsidRDefault="00D12A65" w:rsidP="00D12A65">
            <w:pPr>
              <w:pStyle w:val="TableText"/>
              <w:numPr>
                <w:ilvl w:val="0"/>
                <w:numId w:val="8"/>
              </w:numPr>
            </w:pPr>
            <w:r>
              <w:t>Support the staff survey outcome plan</w:t>
            </w:r>
          </w:p>
          <w:p w:rsidR="00D12A65" w:rsidRDefault="00D12A65" w:rsidP="00D12A65">
            <w:pPr>
              <w:pStyle w:val="ListParagraph"/>
              <w:numPr>
                <w:ilvl w:val="0"/>
                <w:numId w:val="8"/>
              </w:numPr>
            </w:pPr>
            <w:r>
              <w:t>Implementing WRES actions for improvement – Recruitment, Disciplinary, Bullying and Harassment</w:t>
            </w:r>
          </w:p>
          <w:p w:rsidR="00D12A65" w:rsidRPr="009D1CC6" w:rsidRDefault="00D12A65" w:rsidP="00491237">
            <w:pPr>
              <w:pStyle w:val="TableText"/>
              <w:ind w:left="720"/>
            </w:pPr>
          </w:p>
        </w:tc>
        <w:tc>
          <w:tcPr>
            <w:tcW w:w="2760" w:type="dxa"/>
          </w:tcPr>
          <w:p w:rsidR="00D12A65" w:rsidRDefault="00D12A65" w:rsidP="00491237">
            <w:pPr>
              <w:pStyle w:val="TableText"/>
            </w:pPr>
            <w:r>
              <w:t>Diversity and Inclusion Manager</w:t>
            </w:r>
          </w:p>
          <w:p w:rsidR="00D12A65" w:rsidRDefault="00D12A65" w:rsidP="00491237">
            <w:pPr>
              <w:pStyle w:val="TableText"/>
            </w:pPr>
            <w:r>
              <w:t>EDI Practitioners (patient lead/workforce lead)</w:t>
            </w:r>
          </w:p>
          <w:p w:rsidR="00D12A65" w:rsidRDefault="00D12A65" w:rsidP="00491237">
            <w:pPr>
              <w:pStyle w:val="TableText"/>
            </w:pPr>
            <w:r>
              <w:t>Organisational Development Facilitator</w:t>
            </w:r>
          </w:p>
          <w:p w:rsidR="00D12A65" w:rsidRDefault="00D12A65" w:rsidP="00491237">
            <w:pPr>
              <w:pStyle w:val="TableText"/>
            </w:pPr>
            <w:proofErr w:type="gramStart"/>
            <w:r>
              <w:t>B,H</w:t>
            </w:r>
            <w:proofErr w:type="gramEnd"/>
            <w:r>
              <w:t>,A Working Group</w:t>
            </w:r>
          </w:p>
          <w:p w:rsidR="00D12A65" w:rsidRDefault="00D12A65" w:rsidP="00491237">
            <w:pPr>
              <w:pStyle w:val="TableText"/>
            </w:pPr>
          </w:p>
          <w:p w:rsidR="00D12A65" w:rsidRPr="009D1CC6" w:rsidRDefault="00D12A65" w:rsidP="00491237">
            <w:pPr>
              <w:pStyle w:val="TableText"/>
            </w:pPr>
            <w:r>
              <w:t>January 2025</w:t>
            </w:r>
          </w:p>
        </w:tc>
      </w:tr>
      <w:tr w:rsidR="00D12A65" w:rsidRPr="009D1CC6" w:rsidTr="00491237">
        <w:trPr>
          <w:cantSplit/>
          <w:trHeight w:val="1701"/>
        </w:trPr>
        <w:tc>
          <w:tcPr>
            <w:tcW w:w="1121" w:type="dxa"/>
            <w:vMerge/>
            <w:shd w:val="clear" w:color="auto" w:fill="FFF2CC" w:themeFill="accent4" w:themeFillTint="33"/>
          </w:tcPr>
          <w:p w:rsidR="00D12A65" w:rsidRPr="009D1CC6" w:rsidRDefault="00D12A65" w:rsidP="00491237">
            <w:pPr>
              <w:rPr>
                <w:rFonts w:cs="Arial"/>
              </w:rPr>
            </w:pPr>
          </w:p>
        </w:tc>
        <w:tc>
          <w:tcPr>
            <w:tcW w:w="3149" w:type="dxa"/>
            <w:shd w:val="clear" w:color="auto" w:fill="FFF2CC" w:themeFill="accent4" w:themeFillTint="33"/>
          </w:tcPr>
          <w:p w:rsidR="00D12A65" w:rsidRPr="009D1CC6" w:rsidRDefault="00D12A65" w:rsidP="00491237">
            <w:pPr>
              <w:rPr>
                <w:rFonts w:cs="Arial"/>
              </w:rPr>
            </w:pPr>
            <w:r w:rsidRPr="009D1CC6">
              <w:rPr>
                <w:rFonts w:cs="Arial"/>
              </w:rPr>
              <w:t>2C: Staff have access to independent support and advice when suffering from stress, abuse, bullying harassment and physical violence from any source</w:t>
            </w:r>
          </w:p>
        </w:tc>
        <w:tc>
          <w:tcPr>
            <w:tcW w:w="3696" w:type="dxa"/>
          </w:tcPr>
          <w:p w:rsidR="00D12A65" w:rsidRPr="009D1CC6" w:rsidRDefault="00D12A65" w:rsidP="00491237">
            <w:pPr>
              <w:pStyle w:val="TableText"/>
            </w:pPr>
            <w:r>
              <w:t>To increase staff confidence and support when suffering from stress, abuse, bullying, harassment and physical violence</w:t>
            </w:r>
          </w:p>
        </w:tc>
        <w:tc>
          <w:tcPr>
            <w:tcW w:w="4153" w:type="dxa"/>
          </w:tcPr>
          <w:p w:rsidR="00D12A65" w:rsidRDefault="00D12A65" w:rsidP="00D12A65">
            <w:pPr>
              <w:pStyle w:val="ListParagraph"/>
              <w:numPr>
                <w:ilvl w:val="0"/>
                <w:numId w:val="7"/>
              </w:numPr>
            </w:pPr>
            <w:r>
              <w:t xml:space="preserve">Roll out of Trauma Informed Care Training, to support staff following incidents of Violence and Aggression </w:t>
            </w:r>
          </w:p>
          <w:p w:rsidR="00D12A65" w:rsidRPr="009D1CC6" w:rsidRDefault="00D12A65" w:rsidP="00D12A65">
            <w:pPr>
              <w:pStyle w:val="TableText"/>
              <w:numPr>
                <w:ilvl w:val="0"/>
                <w:numId w:val="7"/>
              </w:numPr>
            </w:pPr>
            <w:r>
              <w:t>Promote independent staff support services</w:t>
            </w:r>
          </w:p>
        </w:tc>
        <w:tc>
          <w:tcPr>
            <w:tcW w:w="2760" w:type="dxa"/>
          </w:tcPr>
          <w:p w:rsidR="00D12A65" w:rsidRDefault="00D12A65" w:rsidP="00491237">
            <w:pPr>
              <w:pStyle w:val="TableText"/>
            </w:pPr>
            <w:r>
              <w:t>EDI Practitioner (workforce lead)</w:t>
            </w:r>
          </w:p>
          <w:p w:rsidR="00D12A65" w:rsidRDefault="00D12A65" w:rsidP="00491237">
            <w:pPr>
              <w:pStyle w:val="TableText"/>
            </w:pPr>
            <w:r>
              <w:t>Staff Networks – BAME/DAWN</w:t>
            </w:r>
          </w:p>
          <w:p w:rsidR="00D12A65" w:rsidRDefault="00D12A65" w:rsidP="00491237">
            <w:pPr>
              <w:pStyle w:val="TableText"/>
            </w:pPr>
          </w:p>
          <w:p w:rsidR="00D12A65" w:rsidRPr="009D1CC6" w:rsidRDefault="00D12A65" w:rsidP="00491237">
            <w:pPr>
              <w:pStyle w:val="TableText"/>
            </w:pPr>
            <w:r>
              <w:t>January 2025</w:t>
            </w:r>
          </w:p>
        </w:tc>
      </w:tr>
      <w:tr w:rsidR="00D12A65" w:rsidRPr="009D1CC6" w:rsidTr="00491237">
        <w:trPr>
          <w:cantSplit/>
          <w:trHeight w:val="1701"/>
        </w:trPr>
        <w:tc>
          <w:tcPr>
            <w:tcW w:w="1121" w:type="dxa"/>
            <w:vMerge/>
            <w:shd w:val="clear" w:color="auto" w:fill="FFF2CC" w:themeFill="accent4" w:themeFillTint="33"/>
          </w:tcPr>
          <w:p w:rsidR="00D12A65" w:rsidRPr="009D1CC6" w:rsidRDefault="00D12A65" w:rsidP="00491237">
            <w:pPr>
              <w:rPr>
                <w:rFonts w:cs="Arial"/>
              </w:rPr>
            </w:pPr>
          </w:p>
        </w:tc>
        <w:tc>
          <w:tcPr>
            <w:tcW w:w="3149" w:type="dxa"/>
            <w:shd w:val="clear" w:color="auto" w:fill="FFF2CC" w:themeFill="accent4" w:themeFillTint="33"/>
          </w:tcPr>
          <w:p w:rsidR="00D12A65" w:rsidRPr="009D1CC6" w:rsidRDefault="00D12A65" w:rsidP="00491237">
            <w:pPr>
              <w:rPr>
                <w:rFonts w:cs="Arial"/>
              </w:rPr>
            </w:pPr>
            <w:r w:rsidRPr="009D1CC6">
              <w:rPr>
                <w:rFonts w:cs="Arial"/>
              </w:rPr>
              <w:t>2D: Staff recommend the organisation as a place to work and receive treatment</w:t>
            </w:r>
          </w:p>
        </w:tc>
        <w:tc>
          <w:tcPr>
            <w:tcW w:w="3696" w:type="dxa"/>
          </w:tcPr>
          <w:p w:rsidR="00D12A65" w:rsidRPr="009D1CC6" w:rsidRDefault="00D12A65" w:rsidP="00491237">
            <w:pPr>
              <w:pStyle w:val="TableText"/>
            </w:pPr>
            <w:r>
              <w:t>Improve staff experiences and advocacy in respect of recommending KMPT as a place to work and receive treatment</w:t>
            </w:r>
          </w:p>
        </w:tc>
        <w:tc>
          <w:tcPr>
            <w:tcW w:w="4153" w:type="dxa"/>
          </w:tcPr>
          <w:p w:rsidR="00D12A65" w:rsidRPr="009D1CC6" w:rsidRDefault="00D12A65" w:rsidP="00D12A65">
            <w:pPr>
              <w:pStyle w:val="TableText"/>
              <w:numPr>
                <w:ilvl w:val="0"/>
                <w:numId w:val="12"/>
              </w:numPr>
            </w:pPr>
            <w:r>
              <w:t>Collaborate with Organisational Development team on staff survey results, determine data informed actions to improve staff experience</w:t>
            </w:r>
          </w:p>
        </w:tc>
        <w:tc>
          <w:tcPr>
            <w:tcW w:w="2760" w:type="dxa"/>
          </w:tcPr>
          <w:p w:rsidR="00D12A65" w:rsidRDefault="00D12A65" w:rsidP="00491237">
            <w:pPr>
              <w:pStyle w:val="TableText"/>
            </w:pPr>
            <w:r>
              <w:t xml:space="preserve">Organisational Development </w:t>
            </w:r>
          </w:p>
          <w:p w:rsidR="00D12A65" w:rsidRDefault="00D12A65" w:rsidP="00491237">
            <w:pPr>
              <w:pStyle w:val="TableText"/>
            </w:pPr>
            <w:r>
              <w:t>EDI Team</w:t>
            </w:r>
          </w:p>
          <w:p w:rsidR="00D12A65" w:rsidRDefault="00D12A65" w:rsidP="00491237">
            <w:pPr>
              <w:pStyle w:val="TableText"/>
            </w:pPr>
          </w:p>
          <w:p w:rsidR="00D12A65" w:rsidRPr="009D1CC6" w:rsidRDefault="00D12A65" w:rsidP="00491237">
            <w:pPr>
              <w:pStyle w:val="TableText"/>
            </w:pPr>
            <w:r>
              <w:t>January 2025</w:t>
            </w:r>
          </w:p>
        </w:tc>
      </w:tr>
    </w:tbl>
    <w:p w:rsidR="00D12A65" w:rsidRDefault="00D12A65" w:rsidP="00D12A65"/>
    <w:p w:rsidR="00D12A65" w:rsidRDefault="00D12A65">
      <w:r>
        <w:br w:type="page"/>
      </w:r>
    </w:p>
    <w:p w:rsidR="00D12A65" w:rsidRPr="009D1CC6" w:rsidRDefault="00D12A65" w:rsidP="00D12A65"/>
    <w:tbl>
      <w:tblPr>
        <w:tblStyle w:val="TableGrid"/>
        <w:tblW w:w="1487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62" w:type="dxa"/>
          <w:left w:w="62" w:type="dxa"/>
          <w:bottom w:w="62" w:type="dxa"/>
          <w:right w:w="62" w:type="dxa"/>
        </w:tblCellMar>
        <w:tblLook w:val="04A0" w:firstRow="1" w:lastRow="0" w:firstColumn="1" w:lastColumn="0" w:noHBand="0" w:noVBand="1"/>
      </w:tblPr>
      <w:tblGrid>
        <w:gridCol w:w="1120"/>
        <w:gridCol w:w="3161"/>
        <w:gridCol w:w="3653"/>
        <w:gridCol w:w="4186"/>
        <w:gridCol w:w="2759"/>
      </w:tblGrid>
      <w:tr w:rsidR="00D12A65" w:rsidRPr="009D1CC6" w:rsidTr="00491237">
        <w:tc>
          <w:tcPr>
            <w:tcW w:w="1120" w:type="dxa"/>
            <w:shd w:val="clear" w:color="auto" w:fill="FFE599" w:themeFill="accent4" w:themeFillTint="66"/>
          </w:tcPr>
          <w:p w:rsidR="00D12A65" w:rsidRPr="009D1CC6" w:rsidRDefault="00D12A65" w:rsidP="00491237">
            <w:pPr>
              <w:rPr>
                <w:rFonts w:cs="Arial"/>
                <w:b/>
              </w:rPr>
            </w:pPr>
            <w:r w:rsidRPr="009D1CC6">
              <w:rPr>
                <w:rFonts w:cs="Arial"/>
                <w:b/>
              </w:rPr>
              <w:t xml:space="preserve">Domain </w:t>
            </w:r>
          </w:p>
        </w:tc>
        <w:tc>
          <w:tcPr>
            <w:tcW w:w="3161" w:type="dxa"/>
            <w:shd w:val="clear" w:color="auto" w:fill="FFE599" w:themeFill="accent4" w:themeFillTint="66"/>
          </w:tcPr>
          <w:p w:rsidR="00D12A65" w:rsidRPr="009D1CC6" w:rsidRDefault="00D12A65" w:rsidP="00491237">
            <w:pPr>
              <w:rPr>
                <w:rFonts w:cs="Arial"/>
                <w:b/>
              </w:rPr>
            </w:pPr>
            <w:r w:rsidRPr="009D1CC6">
              <w:rPr>
                <w:rFonts w:cs="Arial"/>
                <w:b/>
              </w:rPr>
              <w:t xml:space="preserve">Outcome </w:t>
            </w:r>
          </w:p>
        </w:tc>
        <w:tc>
          <w:tcPr>
            <w:tcW w:w="3653" w:type="dxa"/>
            <w:shd w:val="clear" w:color="auto" w:fill="FFE599" w:themeFill="accent4" w:themeFillTint="66"/>
          </w:tcPr>
          <w:p w:rsidR="00D12A65" w:rsidRPr="009D1CC6" w:rsidRDefault="00D12A65" w:rsidP="00491237">
            <w:pPr>
              <w:rPr>
                <w:rFonts w:cs="Arial"/>
                <w:b/>
              </w:rPr>
            </w:pPr>
            <w:r w:rsidRPr="009D1CC6">
              <w:rPr>
                <w:rFonts w:cs="Arial"/>
                <w:b/>
              </w:rPr>
              <w:t>Objective</w:t>
            </w:r>
          </w:p>
        </w:tc>
        <w:tc>
          <w:tcPr>
            <w:tcW w:w="4186" w:type="dxa"/>
            <w:shd w:val="clear" w:color="auto" w:fill="FFE599" w:themeFill="accent4" w:themeFillTint="66"/>
          </w:tcPr>
          <w:p w:rsidR="00D12A65" w:rsidRPr="009D1CC6" w:rsidRDefault="00D12A65" w:rsidP="00491237">
            <w:pPr>
              <w:rPr>
                <w:rFonts w:cs="Arial"/>
                <w:b/>
              </w:rPr>
            </w:pPr>
            <w:r w:rsidRPr="009D1CC6">
              <w:rPr>
                <w:rFonts w:cs="Arial"/>
                <w:b/>
              </w:rPr>
              <w:t>Action</w:t>
            </w:r>
          </w:p>
        </w:tc>
        <w:tc>
          <w:tcPr>
            <w:tcW w:w="2759" w:type="dxa"/>
            <w:shd w:val="clear" w:color="auto" w:fill="FFE599" w:themeFill="accent4" w:themeFillTint="66"/>
          </w:tcPr>
          <w:p w:rsidR="00D12A65" w:rsidRPr="009D1CC6" w:rsidRDefault="00D12A65" w:rsidP="00491237">
            <w:pPr>
              <w:rPr>
                <w:rFonts w:cs="Arial"/>
                <w:b/>
              </w:rPr>
            </w:pPr>
            <w:r w:rsidRPr="009D1CC6">
              <w:rPr>
                <w:rFonts w:cs="Arial"/>
                <w:b/>
              </w:rPr>
              <w:t>Completion date</w:t>
            </w:r>
          </w:p>
        </w:tc>
      </w:tr>
      <w:tr w:rsidR="00D12A65" w:rsidRPr="009D1CC6" w:rsidTr="00491237">
        <w:tc>
          <w:tcPr>
            <w:tcW w:w="1120" w:type="dxa"/>
            <w:vMerge w:val="restart"/>
            <w:shd w:val="clear" w:color="auto" w:fill="FFE599" w:themeFill="accent4" w:themeFillTint="66"/>
            <w:textDirection w:val="btLr"/>
            <w:vAlign w:val="center"/>
          </w:tcPr>
          <w:p w:rsidR="00D12A65" w:rsidRPr="009D1CC6" w:rsidRDefault="00D12A65" w:rsidP="00491237">
            <w:pPr>
              <w:ind w:left="113" w:right="113"/>
              <w:jc w:val="center"/>
              <w:rPr>
                <w:rFonts w:cs="Arial"/>
                <w:b/>
              </w:rPr>
            </w:pPr>
            <w:r w:rsidRPr="009D1CC6">
              <w:rPr>
                <w:rFonts w:cs="Arial"/>
                <w:b/>
              </w:rPr>
              <w:t>Domain 3:</w:t>
            </w:r>
          </w:p>
          <w:p w:rsidR="00D12A65" w:rsidRPr="009D1CC6" w:rsidRDefault="00D12A65" w:rsidP="00491237">
            <w:pPr>
              <w:ind w:left="113" w:right="113"/>
              <w:jc w:val="center"/>
              <w:rPr>
                <w:rFonts w:cs="Arial"/>
                <w:b/>
              </w:rPr>
            </w:pPr>
            <w:r w:rsidRPr="009D1CC6">
              <w:rPr>
                <w:rFonts w:cs="Arial"/>
                <w:b/>
              </w:rPr>
              <w:t>Inclusive leadership</w:t>
            </w:r>
          </w:p>
          <w:p w:rsidR="00D12A65" w:rsidRPr="009D1CC6" w:rsidRDefault="00D12A65" w:rsidP="00491237">
            <w:pPr>
              <w:ind w:left="113" w:right="113"/>
              <w:jc w:val="center"/>
              <w:rPr>
                <w:rFonts w:cs="Arial"/>
              </w:rPr>
            </w:pPr>
          </w:p>
        </w:tc>
        <w:tc>
          <w:tcPr>
            <w:tcW w:w="3161" w:type="dxa"/>
            <w:shd w:val="clear" w:color="auto" w:fill="FFE599" w:themeFill="accent4" w:themeFillTint="66"/>
          </w:tcPr>
          <w:p w:rsidR="00D12A65" w:rsidRPr="009D1CC6" w:rsidRDefault="00D12A65" w:rsidP="00491237">
            <w:pPr>
              <w:spacing w:after="160"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3653" w:type="dxa"/>
          </w:tcPr>
          <w:p w:rsidR="00D12A65" w:rsidRDefault="00D12A65" w:rsidP="00491237">
            <w:pPr>
              <w:pStyle w:val="TableText"/>
            </w:pPr>
            <w:r w:rsidRPr="001B4297">
              <w:t>-Executive Board members to have increased visibility through sponsorship and engagement with staff networks and work programmes.</w:t>
            </w:r>
          </w:p>
          <w:p w:rsidR="00D12A65" w:rsidRDefault="00D12A65" w:rsidP="00491237">
            <w:pPr>
              <w:pStyle w:val="TableText"/>
            </w:pPr>
          </w:p>
          <w:p w:rsidR="00D12A65" w:rsidRDefault="00D12A65" w:rsidP="00491237">
            <w:pPr>
              <w:pStyle w:val="TableText"/>
            </w:pPr>
            <w:r>
              <w:t>Ensure all staff with line management responsibility completes leadership training including EDI and health inequalities.</w:t>
            </w:r>
          </w:p>
          <w:p w:rsidR="00D12A65" w:rsidRDefault="00D12A65" w:rsidP="00491237">
            <w:pPr>
              <w:pStyle w:val="TableText"/>
            </w:pPr>
          </w:p>
          <w:p w:rsidR="00D12A65" w:rsidRPr="009D1CC6" w:rsidRDefault="00D12A65" w:rsidP="00491237">
            <w:pPr>
              <w:pStyle w:val="TableText"/>
            </w:pPr>
            <w:r>
              <w:t xml:space="preserve">Highlight EDI as a measurable aspect of organisational culture, leadership and practice. </w:t>
            </w:r>
          </w:p>
        </w:tc>
        <w:tc>
          <w:tcPr>
            <w:tcW w:w="4186" w:type="dxa"/>
          </w:tcPr>
          <w:p w:rsidR="00D12A65" w:rsidRDefault="00D12A65" w:rsidP="00D12A65">
            <w:pPr>
              <w:pStyle w:val="ListParagraph"/>
              <w:numPr>
                <w:ilvl w:val="0"/>
                <w:numId w:val="11"/>
              </w:numPr>
            </w:pPr>
            <w:r>
              <w:t>Each EDI workstream to have an executive sponsor/ lead.</w:t>
            </w:r>
          </w:p>
          <w:p w:rsidR="00D12A65" w:rsidRDefault="00D12A65" w:rsidP="00491237"/>
          <w:p w:rsidR="00D12A65" w:rsidRDefault="00D12A65" w:rsidP="00491237"/>
          <w:p w:rsidR="00D12A65" w:rsidRDefault="00D12A65" w:rsidP="00491237"/>
          <w:p w:rsidR="00D12A65" w:rsidRDefault="00D12A65" w:rsidP="00491237"/>
          <w:p w:rsidR="00D12A65" w:rsidRDefault="00D12A65" w:rsidP="00D12A65">
            <w:pPr>
              <w:pStyle w:val="ListParagraph"/>
              <w:numPr>
                <w:ilvl w:val="0"/>
                <w:numId w:val="11"/>
              </w:numPr>
            </w:pPr>
            <w:r>
              <w:t xml:space="preserve">EDI support the facilitation of training in EDI </w:t>
            </w:r>
          </w:p>
          <w:p w:rsidR="00D12A65" w:rsidRDefault="00D12A65" w:rsidP="00491237"/>
          <w:p w:rsidR="00D12A65" w:rsidRDefault="00D12A65" w:rsidP="00491237"/>
          <w:p w:rsidR="00D12A65" w:rsidRDefault="00D12A65" w:rsidP="00491237"/>
          <w:p w:rsidR="00D12A65" w:rsidRDefault="00D12A65" w:rsidP="00491237"/>
          <w:p w:rsidR="00D12A65" w:rsidRDefault="00D12A65" w:rsidP="00D12A65">
            <w:pPr>
              <w:pStyle w:val="ListParagraph"/>
              <w:numPr>
                <w:ilvl w:val="0"/>
                <w:numId w:val="11"/>
              </w:numPr>
            </w:pPr>
            <w:r>
              <w:t>Lead on Cultural Review Transformation EDI Plan</w:t>
            </w:r>
          </w:p>
          <w:p w:rsidR="00D12A65" w:rsidRPr="001A2D9A" w:rsidRDefault="00D12A65" w:rsidP="00491237"/>
          <w:p w:rsidR="00D12A65" w:rsidRPr="009D1CC6" w:rsidRDefault="00D12A65" w:rsidP="00491237">
            <w:pPr>
              <w:pStyle w:val="TableText"/>
            </w:pPr>
          </w:p>
        </w:tc>
        <w:tc>
          <w:tcPr>
            <w:tcW w:w="2759" w:type="dxa"/>
          </w:tcPr>
          <w:p w:rsidR="00D12A65" w:rsidRDefault="00D12A65" w:rsidP="00491237">
            <w:pPr>
              <w:pStyle w:val="TableText"/>
            </w:pPr>
            <w:r>
              <w:t xml:space="preserve">Diversity and Inclusion Manager </w:t>
            </w:r>
          </w:p>
          <w:p w:rsidR="00D12A65" w:rsidRDefault="00D12A65" w:rsidP="00491237">
            <w:pPr>
              <w:pStyle w:val="TableText"/>
            </w:pPr>
          </w:p>
          <w:p w:rsidR="00D12A65" w:rsidRDefault="00D12A65" w:rsidP="00491237">
            <w:pPr>
              <w:pStyle w:val="TableText"/>
            </w:pPr>
            <w:r>
              <w:t>January 2025</w:t>
            </w:r>
          </w:p>
          <w:p w:rsidR="00D12A65" w:rsidRDefault="00D12A65" w:rsidP="00491237">
            <w:pPr>
              <w:pStyle w:val="TableText"/>
            </w:pPr>
          </w:p>
          <w:p w:rsidR="00D12A65" w:rsidRDefault="00D12A65" w:rsidP="00491237">
            <w:pPr>
              <w:pStyle w:val="TableText"/>
            </w:pPr>
          </w:p>
          <w:p w:rsidR="00D12A65" w:rsidRDefault="00D12A65" w:rsidP="00491237">
            <w:pPr>
              <w:pStyle w:val="TableText"/>
            </w:pPr>
            <w:r>
              <w:t xml:space="preserve">Leadership and Management Facilitator </w:t>
            </w:r>
          </w:p>
          <w:p w:rsidR="00D12A65" w:rsidRDefault="00D12A65" w:rsidP="00491237">
            <w:pPr>
              <w:pStyle w:val="TableText"/>
            </w:pPr>
          </w:p>
          <w:p w:rsidR="00D12A65" w:rsidRDefault="00D12A65" w:rsidP="00491237">
            <w:pPr>
              <w:pStyle w:val="TableText"/>
            </w:pPr>
            <w:r>
              <w:t xml:space="preserve">EDI Team </w:t>
            </w:r>
          </w:p>
          <w:p w:rsidR="00D12A65" w:rsidRDefault="00D12A65" w:rsidP="00491237">
            <w:pPr>
              <w:pStyle w:val="TableText"/>
            </w:pPr>
          </w:p>
          <w:p w:rsidR="00D12A65" w:rsidRDefault="00D12A65" w:rsidP="00491237">
            <w:pPr>
              <w:pStyle w:val="TableText"/>
            </w:pPr>
          </w:p>
          <w:p w:rsidR="00D12A65" w:rsidRDefault="00D12A65" w:rsidP="00491237">
            <w:pPr>
              <w:pStyle w:val="TableText"/>
            </w:pPr>
            <w:r>
              <w:t xml:space="preserve">EDI Team </w:t>
            </w:r>
          </w:p>
          <w:p w:rsidR="00D12A65" w:rsidRDefault="00D12A65" w:rsidP="00491237">
            <w:pPr>
              <w:pStyle w:val="TableText"/>
            </w:pPr>
          </w:p>
          <w:p w:rsidR="00D12A65" w:rsidRPr="009D1CC6" w:rsidRDefault="00D12A65" w:rsidP="00491237">
            <w:pPr>
              <w:pStyle w:val="TableText"/>
            </w:pPr>
            <w:r>
              <w:t>May 2024</w:t>
            </w:r>
          </w:p>
        </w:tc>
      </w:tr>
      <w:tr w:rsidR="00D12A65" w:rsidRPr="009D1CC6" w:rsidTr="00491237">
        <w:tc>
          <w:tcPr>
            <w:tcW w:w="1120" w:type="dxa"/>
            <w:vMerge/>
            <w:shd w:val="clear" w:color="auto" w:fill="FFE599" w:themeFill="accent4" w:themeFillTint="66"/>
          </w:tcPr>
          <w:p w:rsidR="00D12A65" w:rsidRPr="009D1CC6" w:rsidRDefault="00D12A65" w:rsidP="00491237">
            <w:pPr>
              <w:rPr>
                <w:rFonts w:cs="Arial"/>
              </w:rPr>
            </w:pPr>
          </w:p>
        </w:tc>
        <w:tc>
          <w:tcPr>
            <w:tcW w:w="3161" w:type="dxa"/>
            <w:shd w:val="clear" w:color="auto" w:fill="FFE599" w:themeFill="accent4" w:themeFillTint="66"/>
          </w:tcPr>
          <w:p w:rsidR="00D12A65" w:rsidRPr="009D1CC6" w:rsidRDefault="00D12A65" w:rsidP="00491237">
            <w:pPr>
              <w:spacing w:after="160"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3653" w:type="dxa"/>
          </w:tcPr>
          <w:p w:rsidR="00D12A65" w:rsidRDefault="00D12A65" w:rsidP="00491237">
            <w:pPr>
              <w:pStyle w:val="TableText"/>
              <w:rPr>
                <w:color w:val="auto"/>
              </w:rPr>
            </w:pPr>
            <w:r w:rsidRPr="00DE2D86">
              <w:rPr>
                <w:color w:val="auto"/>
              </w:rPr>
              <w:t>Clarify governance structure around</w:t>
            </w:r>
            <w:r>
              <w:rPr>
                <w:color w:val="auto"/>
              </w:rPr>
              <w:t xml:space="preserve"> the </w:t>
            </w:r>
            <w:r w:rsidRPr="00DE2D86">
              <w:rPr>
                <w:color w:val="auto"/>
              </w:rPr>
              <w:t>H</w:t>
            </w:r>
            <w:r>
              <w:rPr>
                <w:color w:val="auto"/>
              </w:rPr>
              <w:t xml:space="preserve">ealth </w:t>
            </w:r>
            <w:r w:rsidRPr="00DE2D86">
              <w:rPr>
                <w:color w:val="auto"/>
              </w:rPr>
              <w:t>I</w:t>
            </w:r>
            <w:r>
              <w:rPr>
                <w:color w:val="auto"/>
              </w:rPr>
              <w:t xml:space="preserve">nequalities and Patient Carer Race Equality Framework.  </w:t>
            </w:r>
          </w:p>
          <w:p w:rsidR="00D12A65" w:rsidRDefault="00D12A65" w:rsidP="00491237">
            <w:pPr>
              <w:pStyle w:val="TableText"/>
              <w:rPr>
                <w:color w:val="auto"/>
              </w:rPr>
            </w:pPr>
          </w:p>
          <w:p w:rsidR="00D12A65" w:rsidRDefault="00D12A65" w:rsidP="00491237">
            <w:pPr>
              <w:pStyle w:val="TableText"/>
              <w:rPr>
                <w:color w:val="auto"/>
              </w:rPr>
            </w:pPr>
            <w:r>
              <w:rPr>
                <w:color w:val="auto"/>
              </w:rPr>
              <w:t>Clarify Executive Lead for Cultural Transformation EDI Plan</w:t>
            </w:r>
          </w:p>
          <w:p w:rsidR="00D12A65" w:rsidRPr="00DE2D86" w:rsidRDefault="00D12A65" w:rsidP="00491237">
            <w:pPr>
              <w:pStyle w:val="TableText"/>
              <w:rPr>
                <w:color w:val="auto"/>
              </w:rPr>
            </w:pPr>
          </w:p>
          <w:p w:rsidR="00D12A65" w:rsidRDefault="00D12A65" w:rsidP="00491237">
            <w:pPr>
              <w:pStyle w:val="TableText"/>
            </w:pPr>
          </w:p>
          <w:p w:rsidR="00D12A65" w:rsidRPr="009D1CC6" w:rsidRDefault="00D12A65" w:rsidP="00491237">
            <w:pPr>
              <w:pStyle w:val="TableText"/>
            </w:pPr>
          </w:p>
        </w:tc>
        <w:tc>
          <w:tcPr>
            <w:tcW w:w="4186" w:type="dxa"/>
          </w:tcPr>
          <w:p w:rsidR="00D12A65" w:rsidRDefault="00D12A65" w:rsidP="00D12A65">
            <w:pPr>
              <w:pStyle w:val="TableText"/>
              <w:numPr>
                <w:ilvl w:val="0"/>
                <w:numId w:val="6"/>
              </w:numPr>
            </w:pPr>
            <w:r>
              <w:t>Identify an Executive Board Committee as part of the governance structure for Health Inequalities and PCREF</w:t>
            </w:r>
          </w:p>
          <w:p w:rsidR="00D12A65" w:rsidRDefault="00D12A65" w:rsidP="00491237">
            <w:pPr>
              <w:pStyle w:val="TableText"/>
            </w:pPr>
          </w:p>
          <w:p w:rsidR="00D12A65" w:rsidRPr="009D1CC6" w:rsidRDefault="00D12A65" w:rsidP="00D12A65">
            <w:pPr>
              <w:pStyle w:val="TableText"/>
              <w:numPr>
                <w:ilvl w:val="0"/>
                <w:numId w:val="6"/>
              </w:numPr>
            </w:pPr>
            <w:r>
              <w:t>Identify Exec lead for Cultural Review EDI Plan.</w:t>
            </w:r>
          </w:p>
        </w:tc>
        <w:tc>
          <w:tcPr>
            <w:tcW w:w="2759" w:type="dxa"/>
          </w:tcPr>
          <w:p w:rsidR="00D12A65" w:rsidRDefault="00D12A65" w:rsidP="00491237">
            <w:pPr>
              <w:pStyle w:val="TableText"/>
            </w:pPr>
            <w:r>
              <w:t>March 2024</w:t>
            </w:r>
          </w:p>
          <w:p w:rsidR="00D12A65" w:rsidRDefault="00D12A65" w:rsidP="00491237">
            <w:pPr>
              <w:pStyle w:val="TableText"/>
            </w:pPr>
          </w:p>
          <w:p w:rsidR="00D12A65" w:rsidRDefault="00D12A65" w:rsidP="00491237">
            <w:pPr>
              <w:pStyle w:val="TableText"/>
            </w:pPr>
          </w:p>
          <w:p w:rsidR="00D12A65" w:rsidRDefault="00D12A65" w:rsidP="00491237">
            <w:pPr>
              <w:pStyle w:val="TableText"/>
            </w:pPr>
          </w:p>
          <w:p w:rsidR="00D12A65" w:rsidRDefault="00D12A65" w:rsidP="00491237">
            <w:pPr>
              <w:pStyle w:val="TableText"/>
            </w:pPr>
          </w:p>
          <w:p w:rsidR="00D12A65" w:rsidRDefault="00D12A65" w:rsidP="00491237">
            <w:pPr>
              <w:pStyle w:val="TableText"/>
            </w:pPr>
            <w:r>
              <w:t>May 2024</w:t>
            </w:r>
          </w:p>
          <w:p w:rsidR="00D12A65" w:rsidRDefault="00D12A65" w:rsidP="00491237">
            <w:pPr>
              <w:pStyle w:val="TableText"/>
            </w:pPr>
            <w:r>
              <w:t xml:space="preserve">Diversity and Inclusion Manager </w:t>
            </w:r>
          </w:p>
          <w:p w:rsidR="00D12A65" w:rsidRDefault="00D12A65" w:rsidP="00491237">
            <w:pPr>
              <w:pStyle w:val="TableText"/>
            </w:pPr>
          </w:p>
          <w:p w:rsidR="00D12A65" w:rsidRPr="009D1CC6" w:rsidRDefault="00D12A65" w:rsidP="00491237">
            <w:pPr>
              <w:pStyle w:val="TableText"/>
            </w:pPr>
          </w:p>
        </w:tc>
      </w:tr>
      <w:tr w:rsidR="00D12A65" w:rsidRPr="009D1CC6" w:rsidTr="00491237">
        <w:tc>
          <w:tcPr>
            <w:tcW w:w="1120" w:type="dxa"/>
            <w:vMerge/>
            <w:shd w:val="clear" w:color="auto" w:fill="FFE599" w:themeFill="accent4" w:themeFillTint="66"/>
          </w:tcPr>
          <w:p w:rsidR="00D12A65" w:rsidRPr="009D1CC6" w:rsidRDefault="00D12A65" w:rsidP="00491237">
            <w:pPr>
              <w:rPr>
                <w:rFonts w:cs="Arial"/>
              </w:rPr>
            </w:pPr>
          </w:p>
        </w:tc>
        <w:tc>
          <w:tcPr>
            <w:tcW w:w="3161" w:type="dxa"/>
            <w:shd w:val="clear" w:color="auto" w:fill="FFE599" w:themeFill="accent4" w:themeFillTint="66"/>
          </w:tcPr>
          <w:p w:rsidR="00D12A65" w:rsidRPr="009D1CC6" w:rsidRDefault="00D12A65" w:rsidP="00491237">
            <w:pPr>
              <w:spacing w:after="160" w:line="259" w:lineRule="auto"/>
              <w:rPr>
                <w:rFonts w:cs="Arial"/>
              </w:rPr>
            </w:pPr>
            <w:r w:rsidRPr="009D1CC6">
              <w:rPr>
                <w:rFonts w:cs="Arial"/>
              </w:rPr>
              <w:t>3C: Board members and system leaders (Band 9 and VSM) ensure levers are in place to manage performance and monitor progress with staff and patients</w:t>
            </w:r>
          </w:p>
        </w:tc>
        <w:tc>
          <w:tcPr>
            <w:tcW w:w="3653" w:type="dxa"/>
          </w:tcPr>
          <w:p w:rsidR="00D12A65" w:rsidRPr="009D1CC6" w:rsidRDefault="00D12A65" w:rsidP="00491237">
            <w:pPr>
              <w:pStyle w:val="TableText"/>
            </w:pPr>
            <w:r>
              <w:t xml:space="preserve">Enhance organisational ownership through application of EDS framework of leadership, workforce and patient focus </w:t>
            </w:r>
          </w:p>
        </w:tc>
        <w:tc>
          <w:tcPr>
            <w:tcW w:w="4186" w:type="dxa"/>
          </w:tcPr>
          <w:p w:rsidR="00D12A65" w:rsidRDefault="00D12A65" w:rsidP="00D12A65">
            <w:pPr>
              <w:pStyle w:val="TableText"/>
              <w:numPr>
                <w:ilvl w:val="0"/>
                <w:numId w:val="10"/>
              </w:numPr>
            </w:pPr>
            <w:r>
              <w:t>Include WRES WDES, GPG at leaders’ event at least once per year</w:t>
            </w:r>
          </w:p>
          <w:p w:rsidR="00D12A65" w:rsidRDefault="00D12A65" w:rsidP="00D12A65">
            <w:pPr>
              <w:pStyle w:val="TableText"/>
              <w:numPr>
                <w:ilvl w:val="0"/>
                <w:numId w:val="10"/>
              </w:numPr>
            </w:pPr>
            <w:r>
              <w:t>Work with place EDI leads to develop understanding and awareness of organisational tools and actions</w:t>
            </w:r>
          </w:p>
          <w:p w:rsidR="00D12A65" w:rsidRPr="009D1CC6" w:rsidRDefault="00D12A65" w:rsidP="00491237">
            <w:pPr>
              <w:pStyle w:val="TableText"/>
              <w:ind w:left="720"/>
            </w:pPr>
          </w:p>
        </w:tc>
        <w:tc>
          <w:tcPr>
            <w:tcW w:w="2759" w:type="dxa"/>
          </w:tcPr>
          <w:p w:rsidR="00D12A65" w:rsidRDefault="00D12A65" w:rsidP="00491237">
            <w:pPr>
              <w:pStyle w:val="TableText"/>
            </w:pPr>
            <w:r>
              <w:t xml:space="preserve">Diversity and Inclusion Manager </w:t>
            </w:r>
          </w:p>
          <w:p w:rsidR="00D12A65" w:rsidRDefault="00D12A65" w:rsidP="00491237">
            <w:pPr>
              <w:pStyle w:val="TableText"/>
            </w:pPr>
          </w:p>
          <w:p w:rsidR="00D12A65" w:rsidRDefault="00D12A65" w:rsidP="00491237">
            <w:pPr>
              <w:pStyle w:val="TableText"/>
            </w:pPr>
            <w:r>
              <w:t xml:space="preserve">Organisational Development </w:t>
            </w:r>
          </w:p>
          <w:p w:rsidR="00D12A65" w:rsidRDefault="00D12A65" w:rsidP="00491237">
            <w:pPr>
              <w:pStyle w:val="TableText"/>
            </w:pPr>
          </w:p>
          <w:p w:rsidR="00D12A65" w:rsidRPr="009D1CC6" w:rsidRDefault="00D12A65" w:rsidP="00491237">
            <w:pPr>
              <w:pStyle w:val="TableText"/>
            </w:pPr>
            <w:r>
              <w:t>January 2025</w:t>
            </w:r>
          </w:p>
        </w:tc>
      </w:tr>
    </w:tbl>
    <w:p w:rsidR="00D12A65" w:rsidRPr="009D1CC6" w:rsidRDefault="00D12A65" w:rsidP="00D12A65">
      <w:pPr>
        <w:pStyle w:val="BodyText"/>
      </w:pPr>
    </w:p>
    <w:sectPr w:rsidR="00D12A65" w:rsidRPr="009D1CC6" w:rsidSect="007235A0">
      <w:headerReference w:type="default" r:id="rId7"/>
      <w:footerReference w:type="default" r:id="rId8"/>
      <w:pgSz w:w="16838" w:h="11906" w:orient="landscape"/>
      <w:pgMar w:top="1134"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5A0" w:rsidRDefault="007235A0" w:rsidP="007235A0">
      <w:pPr>
        <w:spacing w:after="0" w:line="240" w:lineRule="auto"/>
      </w:pPr>
      <w:r>
        <w:separator/>
      </w:r>
    </w:p>
  </w:endnote>
  <w:endnote w:type="continuationSeparator" w:id="0">
    <w:p w:rsidR="007235A0" w:rsidRDefault="007235A0" w:rsidP="0072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7E" w:rsidRDefault="0071767E">
    <w:pPr>
      <w:pStyle w:val="Footer"/>
    </w:pPr>
    <w:r>
      <w:rPr>
        <w:noProof/>
      </w:rPr>
      <w:drawing>
        <wp:inline distT="0" distB="0" distL="0" distR="0" wp14:anchorId="01296320" wp14:editId="2BCC7654">
          <wp:extent cx="8621486" cy="74086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9984" t="81036" r="16006" b="10713"/>
                  <a:stretch/>
                </pic:blipFill>
                <pic:spPr bwMode="auto">
                  <a:xfrm>
                    <a:off x="0" y="0"/>
                    <a:ext cx="9166575" cy="78771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5A0" w:rsidRDefault="007235A0" w:rsidP="007235A0">
      <w:pPr>
        <w:spacing w:after="0" w:line="240" w:lineRule="auto"/>
      </w:pPr>
      <w:r>
        <w:separator/>
      </w:r>
    </w:p>
  </w:footnote>
  <w:footnote w:type="continuationSeparator" w:id="0">
    <w:p w:rsidR="007235A0" w:rsidRDefault="007235A0" w:rsidP="0072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5A0" w:rsidRDefault="007235A0">
    <w:pPr>
      <w:pStyle w:val="Header"/>
    </w:pPr>
    <w:r w:rsidRPr="007235A0">
      <w:rPr>
        <w:b/>
        <w:noProof/>
        <w:sz w:val="28"/>
        <w:szCs w:val="28"/>
      </w:rPr>
      <mc:AlternateContent>
        <mc:Choice Requires="wps">
          <w:drawing>
            <wp:anchor distT="45720" distB="45720" distL="114300" distR="114300" simplePos="0" relativeHeight="251659264" behindDoc="0" locked="0" layoutInCell="1" allowOverlap="1" wp14:anchorId="256C62DF" wp14:editId="4A19DE67">
              <wp:simplePos x="0" y="0"/>
              <wp:positionH relativeFrom="column">
                <wp:posOffset>5915609</wp:posOffset>
              </wp:positionH>
              <wp:positionV relativeFrom="paragraph">
                <wp:posOffset>-188297</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7235A0" w:rsidRDefault="007235A0" w:rsidP="007235A0">
                          <w:r>
                            <w:rPr>
                              <w:noProof/>
                            </w:rPr>
                            <w:drawing>
                              <wp:inline distT="0" distB="0" distL="0" distR="0" wp14:anchorId="1897E877" wp14:editId="16BDCB64">
                                <wp:extent cx="2220686" cy="701040"/>
                                <wp:effectExtent l="0" t="0" r="8255" b="3810"/>
                                <wp:docPr id="2" name="Picture 2" descr="B88D41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88D418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33299"/>
                                        <a:stretch/>
                                      </pic:blipFill>
                                      <pic:spPr bwMode="auto">
                                        <a:xfrm>
                                          <a:off x="0" y="0"/>
                                          <a:ext cx="2221535" cy="7013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6C62DF" id="_x0000_t202" coordsize="21600,21600" o:spt="202" path="m,l,21600r21600,l21600,xe">
              <v:stroke joinstyle="miter"/>
              <v:path gradientshapeok="t" o:connecttype="rect"/>
            </v:shapetype>
            <v:shape id="Text Box 2" o:spid="_x0000_s1026" type="#_x0000_t202" style="position:absolute;margin-left:465.8pt;margin-top:-14.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" stroked="f">
              <v:textbox style="mso-fit-shape-to-text:t">
                <w:txbxContent>
                  <w:p w:rsidR="007235A0" w:rsidRDefault="007235A0" w:rsidP="007235A0">
                    <w:r>
                      <w:rPr>
                        <w:noProof/>
                      </w:rPr>
                      <w:drawing>
                        <wp:inline distT="0" distB="0" distL="0" distR="0" wp14:anchorId="1897E877" wp14:editId="16BDCB64">
                          <wp:extent cx="2220686" cy="701040"/>
                          <wp:effectExtent l="0" t="0" r="8255" b="3810"/>
                          <wp:docPr id="2" name="Picture 2" descr="B88D41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88D418E"/>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r="33299"/>
                                  <a:stretch/>
                                </pic:blipFill>
                                <pic:spPr bwMode="auto">
                                  <a:xfrm>
                                    <a:off x="0" y="0"/>
                                    <a:ext cx="2221535" cy="7013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rsidR="007235A0" w:rsidRDefault="00723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380D"/>
    <w:multiLevelType w:val="hybridMultilevel"/>
    <w:tmpl w:val="36D6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2578B"/>
    <w:multiLevelType w:val="hybridMultilevel"/>
    <w:tmpl w:val="6930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87A89"/>
    <w:multiLevelType w:val="hybridMultilevel"/>
    <w:tmpl w:val="33A23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07FB6"/>
    <w:multiLevelType w:val="hybridMultilevel"/>
    <w:tmpl w:val="592A1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311A4"/>
    <w:multiLevelType w:val="hybridMultilevel"/>
    <w:tmpl w:val="FC6C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9A0F1E"/>
    <w:multiLevelType w:val="hybridMultilevel"/>
    <w:tmpl w:val="190A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44245"/>
    <w:multiLevelType w:val="hybridMultilevel"/>
    <w:tmpl w:val="0688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60443C"/>
    <w:multiLevelType w:val="hybridMultilevel"/>
    <w:tmpl w:val="D022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B0E64"/>
    <w:multiLevelType w:val="hybridMultilevel"/>
    <w:tmpl w:val="82EE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10408E"/>
    <w:multiLevelType w:val="hybridMultilevel"/>
    <w:tmpl w:val="B648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266CCD"/>
    <w:multiLevelType w:val="hybridMultilevel"/>
    <w:tmpl w:val="64D2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70A3E"/>
    <w:multiLevelType w:val="hybridMultilevel"/>
    <w:tmpl w:val="C654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1"/>
  </w:num>
  <w:num w:numId="6">
    <w:abstractNumId w:val="7"/>
  </w:num>
  <w:num w:numId="7">
    <w:abstractNumId w:val="4"/>
  </w:num>
  <w:num w:numId="8">
    <w:abstractNumId w:val="11"/>
  </w:num>
  <w:num w:numId="9">
    <w:abstractNumId w:val="2"/>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9C"/>
    <w:rsid w:val="000F09B9"/>
    <w:rsid w:val="0071767E"/>
    <w:rsid w:val="007235A0"/>
    <w:rsid w:val="007C23C2"/>
    <w:rsid w:val="00D12A65"/>
    <w:rsid w:val="00D91EA0"/>
    <w:rsid w:val="00F11E9C"/>
    <w:rsid w:val="00F20988"/>
    <w:rsid w:val="00F97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2609A"/>
  <w15:chartTrackingRefBased/>
  <w15:docId w15:val="{7EC0AD27-FB9A-4BD4-884E-9A1E9E05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11E9C"/>
    <w:p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rsid w:val="00F11E9C"/>
    <w:rPr>
      <w:rFonts w:ascii="Arial" w:hAnsi="Arial"/>
      <w:color w:val="231F20"/>
      <w:sz w:val="24"/>
      <w:szCs w:val="24"/>
    </w:rPr>
  </w:style>
  <w:style w:type="paragraph" w:styleId="ListParagraph">
    <w:name w:val="List Paragraph"/>
    <w:basedOn w:val="Normal"/>
    <w:uiPriority w:val="34"/>
    <w:qFormat/>
    <w:rsid w:val="00F11E9C"/>
    <w:pPr>
      <w:spacing w:after="0" w:line="240" w:lineRule="auto"/>
      <w:ind w:left="720"/>
      <w:contextualSpacing/>
    </w:pPr>
    <w:rPr>
      <w:rFonts w:ascii="Arial" w:hAnsi="Arial"/>
      <w:color w:val="231F20"/>
      <w:sz w:val="24"/>
      <w:szCs w:val="24"/>
    </w:rPr>
  </w:style>
  <w:style w:type="paragraph" w:customStyle="1" w:styleId="TableText">
    <w:name w:val="Table Text"/>
    <w:basedOn w:val="Normal"/>
    <w:uiPriority w:val="17"/>
    <w:qFormat/>
    <w:rsid w:val="00F11E9C"/>
    <w:pPr>
      <w:spacing w:after="0" w:line="240" w:lineRule="auto"/>
    </w:pPr>
    <w:rPr>
      <w:rFonts w:ascii="Arial" w:hAnsi="Arial"/>
      <w:color w:val="231F20"/>
      <w:sz w:val="24"/>
      <w:szCs w:val="24"/>
    </w:rPr>
  </w:style>
  <w:style w:type="table" w:styleId="TableGrid">
    <w:name w:val="Table Grid"/>
    <w:basedOn w:val="TableNormal"/>
    <w:uiPriority w:val="39"/>
    <w:rsid w:val="00F11E9C"/>
    <w:pPr>
      <w:spacing w:after="0" w:line="240" w:lineRule="auto"/>
    </w:pPr>
    <w:rPr>
      <w:rFonts w:ascii="Arial" w:hAnsi="Arial"/>
      <w:color w:val="231F20"/>
      <w:sz w:val="24"/>
      <w:szCs w:val="24"/>
    </w:rPr>
    <w:tblPr>
      <w:tblCellMar>
        <w:left w:w="0" w:type="dxa"/>
        <w:right w:w="0" w:type="dxa"/>
      </w:tblCellMar>
    </w:tblPr>
  </w:style>
  <w:style w:type="paragraph" w:styleId="Header">
    <w:name w:val="header"/>
    <w:basedOn w:val="Normal"/>
    <w:link w:val="HeaderChar"/>
    <w:uiPriority w:val="99"/>
    <w:unhideWhenUsed/>
    <w:rsid w:val="00723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5A0"/>
  </w:style>
  <w:style w:type="paragraph" w:styleId="Footer">
    <w:name w:val="footer"/>
    <w:basedOn w:val="Normal"/>
    <w:link w:val="FooterChar"/>
    <w:uiPriority w:val="99"/>
    <w:unhideWhenUsed/>
    <w:rsid w:val="00723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cid:image010.png@01D9CC41.3508CCD0" TargetMode="External"/><Relationship Id="rId1" Type="http://schemas.openxmlformats.org/officeDocument/2006/relationships/image" Target="media/image1.png"/><Relationship Id="rId4" Type="http://schemas.openxmlformats.org/officeDocument/2006/relationships/image" Target="cid:image010.png@01D9CC41.3508CC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1438</Words>
  <Characters>8203</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LAFAYETTE, Donna (KENT AND MEDWAY NHS AND SOCIAL CARE PARTNERSHIP TRUST)</dc:creator>
  <cp:keywords/>
  <dc:description/>
  <cp:lastModifiedBy>LAFAYETTE, Donna (KENT AND MEDWAY NHS AND SOCIAL CARE PARTNERSHIP TRUST)</cp:lastModifiedBy>
  <cp:revision>4</cp:revision>
  <dcterms:created xsi:type="dcterms:W3CDTF">2024-04-08T12:02:00Z</dcterms:created>
  <dcterms:modified xsi:type="dcterms:W3CDTF">2024-04-11T19:58:00Z</dcterms:modified>
</cp:coreProperties>
</file>